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AA36" w14:textId="77777777" w:rsidR="00921E7B" w:rsidRPr="00684A0F" w:rsidRDefault="00684A0F" w:rsidP="00684A0F">
      <w:pPr>
        <w:bidi/>
        <w:spacing w:line="360" w:lineRule="auto"/>
        <w:rPr>
          <w:rFonts w:asciiTheme="majorBidi" w:hAnsiTheme="majorBidi" w:cstheme="majorBidi"/>
          <w:b/>
          <w:bCs/>
          <w:sz w:val="28"/>
          <w:szCs w:val="28"/>
        </w:rPr>
      </w:pPr>
      <w:r>
        <w:rPr>
          <w:rFonts w:asciiTheme="majorBidi" w:hAnsiTheme="majorBidi" w:cstheme="majorBidi"/>
          <w:b/>
          <w:bCs/>
          <w:sz w:val="28"/>
          <w:szCs w:val="28"/>
        </w:rPr>
        <w:t>روبرت فانوي ، أسس النبوة الكتابية: محاضرة 13 ب</w:t>
      </w:r>
    </w:p>
    <w:p w14:paraId="2A989AE2" w14:textId="77777777" w:rsidR="00AD4ACD" w:rsidRDefault="006E118B" w:rsidP="00996992">
      <w:pPr>
        <w:bidi/>
        <w:spacing w:line="360" w:lineRule="auto"/>
        <w:rPr>
          <w:rFonts w:asciiTheme="majorBidi" w:hAnsiTheme="majorBidi" w:cstheme="majorBidi"/>
          <w:sz w:val="26"/>
          <w:szCs w:val="26"/>
        </w:rPr>
      </w:pPr>
      <w:r>
        <w:rPr>
          <w:rFonts w:asciiTheme="majorBidi" w:hAnsiTheme="majorBidi" w:cstheme="majorBidi"/>
          <w:sz w:val="26"/>
          <w:szCs w:val="26"/>
        </w:rPr>
        <w:t>المبادئ التأويلية لتفسير الكتابات النبوية</w:t>
      </w:r>
    </w:p>
    <w:p w14:paraId="3B7A8B98" w14:textId="77777777" w:rsidR="006E118B" w:rsidRDefault="006E118B" w:rsidP="00996992">
      <w:pPr>
        <w:spacing w:line="360" w:lineRule="auto"/>
        <w:rPr>
          <w:rFonts w:asciiTheme="majorBidi" w:hAnsiTheme="majorBidi" w:cstheme="majorBidi"/>
          <w:sz w:val="26"/>
          <w:szCs w:val="26"/>
        </w:rPr>
      </w:pPr>
    </w:p>
    <w:p w14:paraId="674A2899" w14:textId="77777777" w:rsidR="006E118B" w:rsidRDefault="006E118B" w:rsidP="00996992">
      <w:pPr>
        <w:bidi/>
        <w:spacing w:line="360" w:lineRule="auto"/>
        <w:rPr>
          <w:rFonts w:asciiTheme="majorBidi" w:hAnsiTheme="majorBidi" w:cstheme="majorBidi"/>
          <w:sz w:val="26"/>
          <w:szCs w:val="26"/>
        </w:rPr>
      </w:pPr>
      <w:r>
        <w:rPr>
          <w:rFonts w:asciiTheme="majorBidi" w:hAnsiTheme="majorBidi" w:cstheme="majorBidi"/>
          <w:sz w:val="26"/>
          <w:szCs w:val="26"/>
        </w:rPr>
        <w:t>5. ه. إشعياء 11: 10-12 نهج أوسوالت</w:t>
      </w:r>
    </w:p>
    <w:p w14:paraId="23046261" w14:textId="77777777" w:rsidR="00921E7B" w:rsidRPr="0074501E" w:rsidRDefault="009E1C1C" w:rsidP="0071516E">
      <w:pPr>
        <w:bidi/>
        <w:spacing w:line="360" w:lineRule="auto"/>
        <w:rPr>
          <w:rFonts w:asciiTheme="majorBidi" w:hAnsiTheme="majorBidi" w:cstheme="majorBidi"/>
          <w:sz w:val="26"/>
          <w:szCs w:val="26"/>
        </w:rPr>
      </w:pPr>
      <w:r>
        <w:rPr>
          <w:rFonts w:asciiTheme="majorBidi" w:hAnsiTheme="majorBidi" w:cstheme="majorBidi"/>
          <w:sz w:val="26"/>
          <w:szCs w:val="26"/>
        </w:rPr>
        <w:tab/>
      </w:r>
      <w:r w:rsidR="00663F2F">
        <w:rPr>
          <w:rFonts w:asciiTheme="majorBidi" w:hAnsiTheme="majorBidi" w:cstheme="majorBidi"/>
          <w:sz w:val="26"/>
          <w:szCs w:val="26"/>
        </w:rPr>
        <w:t xml:space="preserve">لنلقِ نظرة على تعليق جون أوزوالت على NICOT على إشعياء ، الصفحة 286 وما يليها. يقول عن هذا القسم الأكبر: "في حين أن المعنى العام لهذه الآيات واضح ، إلا أن التفاصيل ليست واضحة. هل النبي يتحدث عن العودة من بابل عام 539 قبل الميلاد؟ " انظر ، يبدأ ، "الرب يمد يده مرة ثانية ليسترد ما تبقى من شعبه." ثم يتكلم في الآية 12 ، عن جمع المنفيين من إسرائيل ، وإعادتهم إلى أرضهم. يقول أوزوالت: "أهذا يتحدث عن العودة من بابل عام 539؟ إذا كان الأمر كذلك ، فإن المسيح لم يتم الكشف عنه بعد ويمكن أن يكون بالكاد الراية التي يلتف حولها الناس ". نرى في الآية 10 ، "في ذلك اليوم ، سيقف أصل يسّى كراية للشعوب. ستلتف اليه الامم ". لا يبدو أنه حدث في وقت العودة من المنفى. هل يتحدث إشعياء في الواقع عن إسرائيل الجديدة ، الكنيسة ، كما يقول الإصلاحيون؟ على سبيل المثال ، يقول كالفن ، "بالتأكيد ، اجتمع المؤمنون إلى المسيح من كل جزء من العالم [وهذا هو موقع إي جيه يونغ أيضًا]." والآية 10 ، بطريقة تذكرنا بإشعياء 2: 2-4 ، تشير إلى الأمم على حدة. ومع ذلك ، يظهر هنا تعليق أوزوالت ، "يبدو أن التركيز الأساسي للمقطع على الأمة التاريخية لإسرائيل ، بحيث يقود المرء إلى الاعتقاد بأنه يشير إلى تجمع نهائي عظيم للشعب اليهودي مثل ذلك الذي أشار إليه بولس في رومية 11. إذا كان ذلك قد بدأ في الحركة الصهيونية ، كما يعتقد الكثيرون ، فقد نتطلع بترقب إلى اكتماله النهائي في تحول الأمة اليهودية إلى الله في المسيح ". يبدو أن Oswalt ، كما يناقش ذلك بمزيد من التفصيل ، سوف يتناسب حقًا مع تلك الفئة الثالثة التي لديك هنا ؛ شكل من أشكال الوصف لعودة الإسرائيليين المنفيين إلى أرضهم فيما يتعلق بمجيئهم إلى المسيح. هناك حيث قد يكون هذا الخط غامضًا تم طرحه منذ دقيقة. </w:t>
      </w:r>
      <w:r w:rsidR="006E118B">
        <w:rPr>
          <w:rFonts w:asciiTheme="majorBidi" w:hAnsiTheme="majorBidi" w:cstheme="majorBidi"/>
          <w:sz w:val="26"/>
          <w:szCs w:val="26"/>
        </w:rPr>
        <w:br/>
      </w:r>
      <w:r w:rsidR="006E118B">
        <w:rPr>
          <w:rFonts w:asciiTheme="majorBidi" w:hAnsiTheme="majorBidi" w:cstheme="majorBidi"/>
          <w:sz w:val="26"/>
          <w:szCs w:val="26"/>
        </w:rPr>
        <w:br/>
        <w:t>F. نهج JA الإسكندر</w:t>
      </w:r>
    </w:p>
    <w:p w14:paraId="7A3EF32F" w14:textId="77777777" w:rsidR="00921E7B" w:rsidRPr="0074501E" w:rsidRDefault="00A32BDF" w:rsidP="00663F2F">
      <w:pPr>
        <w:bidi/>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في تعليق ج. أ. الإسكندر على إشعياء ، صفحة 257 ، يقول: "لم تتحقق النبوة في عودة اللاجئين بعد انزعاج سنحاريب ، </w:t>
      </w:r>
      <w:r w:rsidR="00067D52">
        <w:rPr>
          <w:rFonts w:asciiTheme="majorBidi" w:hAnsiTheme="majorBidi" w:cstheme="majorBidi"/>
          <w:sz w:val="26"/>
          <w:szCs w:val="26"/>
        </w:rPr>
        <w:t>ولا في العودة من بابل ، ولكن جزئيًا في الكرازة بالإنجيل لليهود. الإنجاز الكامل متوقع عندما يخلص كل إسرائيل. يجب فهم النبوءة مجازيًا ، لأن الأمم المذكورة في هذه الآية لم تعد موجودة منذ زمن طويل ". انظر هناك ، تحصل على تلك المصطلحات التي تم غزوها ثقافيًا. الحدث الذي تم التنبؤ به ، حسب كايل ، هو عودة اليهود إلى فلسطين. ولكن بحسب كالفن ، قبولهم في ملكوت المسيح على التوبة وقبول الإيمان المسيحي. "</w:t>
      </w:r>
    </w:p>
    <w:p w14:paraId="5C044B02" w14:textId="77777777" w:rsidR="00921E7B" w:rsidRPr="0074501E" w:rsidRDefault="00A32BDF" w:rsidP="0071516E">
      <w:pPr>
        <w:bidi/>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لذلك تحصل على هذا الاختلاف في وجهة النظر. الآية 14 ، حيث ذُكرت فلسطين ، وأدوم ، وموآب </w:t>
      </w:r>
      <w:r w:rsidRPr="0074501E">
        <w:rPr>
          <w:rFonts w:asciiTheme="majorBidi" w:hAnsiTheme="majorBidi" w:cstheme="majorBidi"/>
          <w:sz w:val="26"/>
          <w:szCs w:val="26"/>
        </w:rPr>
        <w:lastRenderedPageBreak/>
        <w:t xml:space="preserve">، والموآبيون ، يقول الإسكندر ، "كل الأسماء هي أسماء الدول المجاورة التي اعتاد العبرانيون على شن الحرب معها </w:t>
      </w:r>
      <w:r w:rsidR="00067D52">
        <w:rPr>
          <w:rFonts w:asciiTheme="majorBidi" w:hAnsiTheme="majorBidi" w:cstheme="majorBidi"/>
          <w:sz w:val="26"/>
          <w:szCs w:val="26"/>
        </w:rPr>
        <w:t xml:space="preserve">. يمكن تسمية أدوم وموآب وعمون بشكل خاص لسبب إضافي ، أي. وأنهم كانوا على صلة بإسرائيل تقريبًا ، ومع ذلك كانوا من بين ألد أعدائه. يفسر اليهود هذا على أنه تنبؤ حرفي يحترم البلدان التي كانت تمتلكها في السابق الأعراق المذكورة هنا. يفهم معظم الكتاب المسيحيين ذلك روحيًا عن الفتوحات التي سيحققها الدين الحقيقي ، ويفترضون أن الأمم المذكورة هنا توضع ببساطة للأعداء بشكل عام ، أو للعالم الوثني ". لاحظ أن هذه هي وجهة نظر يونغ أيضًا. "إن طريقة الوصف هذه أصبحت أكثر تأكيدًا من خلال الارتباطات التاريخية التي أيقظتها الأسماء." في وقت لاحق ، يقول ، "لقد سعى المفسرون المختلفون إلى تحقيق ذلك ، في العودة من بابل ، في التقدم العام للإنجيل ، وفي استعادة اليهود في المستقبل." </w:t>
      </w:r>
      <w:r w:rsidR="006E118B">
        <w:rPr>
          <w:rFonts w:asciiTheme="majorBidi" w:hAnsiTheme="majorBidi" w:cstheme="majorBidi"/>
          <w:sz w:val="26"/>
          <w:szCs w:val="26"/>
        </w:rPr>
        <w:br/>
      </w:r>
      <w:r w:rsidR="006E118B">
        <w:rPr>
          <w:rFonts w:asciiTheme="majorBidi" w:hAnsiTheme="majorBidi" w:cstheme="majorBidi"/>
          <w:sz w:val="26"/>
          <w:szCs w:val="26"/>
        </w:rPr>
        <w:br/>
        <w:t xml:space="preserve">ز. منهج فانوي </w:t>
      </w:r>
      <w:r w:rsidR="006E118B">
        <w:rPr>
          <w:rFonts w:asciiTheme="majorBidi" w:hAnsiTheme="majorBidi" w:cstheme="majorBidi"/>
          <w:sz w:val="26"/>
          <w:szCs w:val="26"/>
        </w:rPr>
        <w:tab/>
      </w:r>
      <w:r w:rsidRPr="0074501E">
        <w:rPr>
          <w:rFonts w:asciiTheme="majorBidi" w:hAnsiTheme="majorBidi" w:cstheme="majorBidi"/>
          <w:sz w:val="26"/>
          <w:szCs w:val="26"/>
        </w:rPr>
        <w:t>لا أرى كيف يمكنك الجدال مع تفاصيل العودة من بابل ، لكن ماذا تفعل بهذا؟ هل هذا هو التقدم العام للإنجيل؟ هل تضفي روحانية على هذا؟ أم أنك تقول إن له علاقة بإعادة الشعب اليهودي إلى وطنه في المستقبل؟</w:t>
      </w:r>
      <w:r w:rsidR="007E7A37">
        <w:rPr>
          <w:rFonts w:asciiTheme="majorBidi" w:hAnsiTheme="majorBidi" w:cstheme="majorBidi"/>
          <w:sz w:val="26"/>
          <w:szCs w:val="26"/>
        </w:rPr>
        <w:br/>
        <w:t xml:space="preserve"> </w:t>
      </w:r>
      <w:r w:rsidR="007E7A37">
        <w:rPr>
          <w:rFonts w:asciiTheme="majorBidi" w:hAnsiTheme="majorBidi" w:cstheme="majorBidi"/>
          <w:sz w:val="26"/>
          <w:szCs w:val="26"/>
        </w:rPr>
        <w:tab/>
      </w:r>
      <w:r w:rsidRPr="0074501E">
        <w:rPr>
          <w:rFonts w:asciiTheme="majorBidi" w:hAnsiTheme="majorBidi" w:cstheme="majorBidi"/>
          <w:sz w:val="26"/>
          <w:szCs w:val="26"/>
        </w:rPr>
        <w:t>أنا أكثر قبل الألفية في علم الأمور الأخيرة. أنا أميل أكثر لأخذ وجهة النظر هذه والبحث ، بهذه الأسماء ، عن نوع من المعادلات ، عن الأماكن. إذا كانوا سيعودون من بلاد آشور - من بلاد ما بين النهرين في المنطقة ، فابحث عن المعادلات التي تتوافق معهم. لا أعتقد أن هناك كثيرين ، لكن البعض يجادل بأنه في نهاية الوقت سيكون هناك إعادة تشكيل لكل هذه الأمم ، وأنه في نهاية الزمان ستكون هناك آشور. أعتقد أن هذا يدفعها ، كما ترى ستكون تلك الفئة الأولى ، أولئك الذين يصرون على الإنجاز الحرفي. أعتقد أنك وصلت إلى فئة ثانية أو ثالثة. السؤال هو ، هل أنت مرتاح للتأويل الروحاني؟ هل هذه هي الطريقة التي قصد أن نفهمها؟</w:t>
      </w:r>
    </w:p>
    <w:p w14:paraId="2BBE6C29" w14:textId="77777777" w:rsidR="00921E7B" w:rsidRPr="0074501E" w:rsidRDefault="00A32BDF" w:rsidP="00A95B64">
      <w:pPr>
        <w:bidi/>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هناك تعليق جيد على إشعياء من تأليف JA Moty </w:t>
      </w:r>
      <w:r w:rsidR="007E7A37">
        <w:rPr>
          <w:rFonts w:asciiTheme="majorBidi" w:hAnsiTheme="majorBidi" w:cstheme="majorBidi"/>
          <w:sz w:val="26"/>
          <w:szCs w:val="26"/>
        </w:rPr>
        <w:t xml:space="preserve">er. قد يكون البعض منكم على دراية بذلك. تعليقه المختصر على هذا المقطع هو ، "إنها استعارة: القوة التي تسقط بها الأمم هي الإنجيل." لذلك ، كان يتفق مع يونغ. أحاول فقط استخدام هذا لتوضيح أنواع الأسئلة التفسيرية التي تنشأ عندما تبدأ في البحث عن كثب ورؤية هذه النبوءة التنبؤية. </w:t>
      </w:r>
      <w:r w:rsidR="006E118B">
        <w:rPr>
          <w:rFonts w:asciiTheme="majorBidi" w:hAnsiTheme="majorBidi" w:cstheme="majorBidi"/>
          <w:sz w:val="26"/>
          <w:szCs w:val="26"/>
        </w:rPr>
        <w:br/>
      </w:r>
      <w:r w:rsidR="006E118B">
        <w:rPr>
          <w:rFonts w:asciiTheme="majorBidi" w:hAnsiTheme="majorBidi" w:cstheme="majorBidi"/>
          <w:sz w:val="26"/>
          <w:szCs w:val="26"/>
        </w:rPr>
        <w:br/>
        <w:t xml:space="preserve">6. </w:t>
      </w:r>
      <w:r w:rsidR="006E118B" w:rsidRPr="0074501E">
        <w:rPr>
          <w:rFonts w:asciiTheme="majorBidi" w:hAnsiTheme="majorBidi" w:cstheme="majorBidi"/>
          <w:sz w:val="26"/>
          <w:szCs w:val="26"/>
        </w:rPr>
        <w:t xml:space="preserve">النبوة التنبؤية قد تكون مشروطة </w:t>
      </w:r>
      <w:r w:rsidR="006E118B">
        <w:rPr>
          <w:rFonts w:asciiTheme="majorBidi" w:hAnsiTheme="majorBidi" w:cstheme="majorBidi"/>
          <w:sz w:val="26"/>
          <w:szCs w:val="26"/>
        </w:rPr>
        <w:br/>
        <w:t xml:space="preserve">أ. جيري. 18: 5-10 </w:t>
      </w:r>
      <w:r w:rsidR="007E7A37">
        <w:rPr>
          <w:rFonts w:asciiTheme="majorBidi" w:hAnsiTheme="majorBidi" w:cstheme="majorBidi"/>
          <w:sz w:val="26"/>
          <w:szCs w:val="26"/>
        </w:rPr>
        <w:br/>
      </w:r>
      <w:r w:rsidRPr="0074501E">
        <w:rPr>
          <w:rFonts w:asciiTheme="majorBidi" w:hAnsiTheme="majorBidi" w:cstheme="majorBidi"/>
          <w:sz w:val="26"/>
          <w:szCs w:val="26"/>
        </w:rPr>
        <w:tab/>
      </w:r>
      <w:r w:rsidR="00663F2F">
        <w:rPr>
          <w:rFonts w:asciiTheme="majorBidi" w:hAnsiTheme="majorBidi" w:cstheme="majorBidi"/>
          <w:sz w:val="26"/>
          <w:szCs w:val="26"/>
        </w:rPr>
        <w:t xml:space="preserve">دعنا ننتقل إلى 6. ، "النبوءة التنبؤية قد تكون مشروطة." الآن ، أن نقول هذا يعني أن بعض النبوءات قد تعتمد على شروط. قد يتم التعبير عن الحالة ومن ثم فهي ليست مشكلة. لكنني أعتقد أن هناك أمثلة لم يتم التعبير عنها فيها ، ومع ذلك قد تظل جزءًا حيويًا من النبوءة. النص الذي أعتقد أنه مهم للغاية لفهم هذا هو إرميا 18: 5-10. في إرميا 18 ، نزل إرميا إلى بيت الفخاري ، وشاهده وهو يلقي بعض الأواني ، وفي الآية </w:t>
      </w:r>
      <w:r w:rsidR="00663F2F">
        <w:rPr>
          <w:rFonts w:asciiTheme="majorBidi" w:hAnsiTheme="majorBidi" w:cstheme="majorBidi"/>
          <w:sz w:val="26"/>
          <w:szCs w:val="26"/>
        </w:rPr>
        <w:lastRenderedPageBreak/>
        <w:t xml:space="preserve">الخامسة ، "جاء كلام الرب إلى إرميا وقال:" يا بيت إسرائيل ، لا أستطيع أن أفعل بكم. كما يفعل الخزاف؟ كطين في يدي الفخاري انتم في يدي يا بيت اسرائيل. إذا ... "وإليكم العبارات المهمة ،" إذا أعلنت في أي وقت أنه سيتم اقتلاع أمة أو مملكة أو هدمها أو تدميرها ، وإذا حذرت تلك الأمة التائبين من شرها ، فسأندم ولا ألحق عليها الكارثة التي خططت لها. إذا أعلنت في وقت آخر أن أمة </w:t>
      </w:r>
      <w:r w:rsidRPr="0074501E">
        <w:rPr>
          <w:rFonts w:asciiTheme="majorBidi" w:hAnsiTheme="majorBidi" w:cstheme="majorBidi"/>
          <w:sz w:val="26"/>
          <w:szCs w:val="26"/>
        </w:rPr>
        <w:t xml:space="preserve">أو مملكة ستُبنى وتُغرس ، وإذا فعلت الشر في عيني ولم تطيعني ، فسأعيد النظر في الخير الذي كنت أنوي أن أفعله من أجلها ". لذلك ، يمكن أن يدلي الله ببيان ، ولكن إذا تم تعديل سلوك الشخص أو المجموعة التي يتم توجيه هذه العبارة إليها </w:t>
      </w:r>
      <w:r w:rsidR="007E7A37">
        <w:rPr>
          <w:rFonts w:asciiTheme="majorBidi" w:hAnsiTheme="majorBidi" w:cstheme="majorBidi"/>
          <w:sz w:val="26"/>
          <w:szCs w:val="26"/>
        </w:rPr>
        <w:t xml:space="preserve">، فقد يؤثر ذلك على تنفيذ ما قال الله في البداية أنه سيفعله. </w:t>
      </w:r>
      <w:r w:rsidR="006E118B">
        <w:rPr>
          <w:rFonts w:asciiTheme="majorBidi" w:hAnsiTheme="majorBidi" w:cstheme="majorBidi"/>
          <w:sz w:val="26"/>
          <w:szCs w:val="26"/>
        </w:rPr>
        <w:br/>
      </w:r>
      <w:r w:rsidR="006E118B">
        <w:rPr>
          <w:rFonts w:asciiTheme="majorBidi" w:hAnsiTheme="majorBidi" w:cstheme="majorBidi"/>
          <w:sz w:val="26"/>
          <w:szCs w:val="26"/>
        </w:rPr>
        <w:br/>
        <w:t>ب. 1 ملوك 11 - يربعام</w:t>
      </w:r>
    </w:p>
    <w:p w14:paraId="434831F8" w14:textId="77777777" w:rsidR="00921E7B" w:rsidRPr="0074501E" w:rsidRDefault="00A32BDF" w:rsidP="00A95B64">
      <w:pPr>
        <w:bidi/>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عندما تصل إلى الأقوال النبوية ، تجد أحيانًا شروطًا مرتبطة. انظر إلى 1 ملوك 11 مع يربعام </w:t>
      </w:r>
      <w:r w:rsidR="00A95B64">
        <w:rPr>
          <w:rFonts w:asciiTheme="majorBidi" w:hAnsiTheme="majorBidi" w:cstheme="majorBidi"/>
          <w:sz w:val="26"/>
          <w:szCs w:val="26"/>
        </w:rPr>
        <w:t>1. انظر إلى الآية 38. قال له أخيا النبي ، متحدثًا عن الرب ، في الآية 38 ، "إذا فعلت كل ما أوصيك به ، وسلكت في طرقي وفعلت ما هو صواب في عينيّ بحفظ فرائضي ووصاياي ، كما فعل داود عبدي ، أكون معك. سأبني لك سلالة ثابتة مثل تلك التي بنيتها لداود وسأعطيك إسرائيل. سأُذلّ نسل داود بسبب هذا ، لكن ليس إلى الأبد ".</w:t>
      </w:r>
    </w:p>
    <w:p w14:paraId="43B1BF1A" w14:textId="77777777" w:rsidR="00921E7B" w:rsidRPr="0074501E" w:rsidRDefault="00A32BDF" w:rsidP="0071516E">
      <w:pPr>
        <w:bidi/>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لكن هناك شرط: إذا فعلت كل ما أوصيك به ، </w:t>
      </w:r>
      <w:r w:rsidR="00067D52">
        <w:rPr>
          <w:rFonts w:asciiTheme="majorBidi" w:hAnsiTheme="majorBidi" w:cstheme="majorBidi"/>
          <w:sz w:val="26"/>
          <w:szCs w:val="26"/>
        </w:rPr>
        <w:t>فسأبني ليربعام بيتًا أكيدًا كما فعلت لداود. هناك شرط في ذلك ، وبما أن يربعام لم يستوف الشروط ، فإن تلك النبوءة لم تتحقق أيضًا. وبدلاً من إعطائه منزلاً أكيدًا ، تم تدمير منزله.</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Pr="0074501E">
        <w:rPr>
          <w:rFonts w:asciiTheme="majorBidi" w:hAnsiTheme="majorBidi" w:cstheme="majorBidi"/>
          <w:sz w:val="26"/>
          <w:szCs w:val="26"/>
        </w:rPr>
        <w:t xml:space="preserve">تذهب إلى 1 Kings 15:29 وتقرأ هناك ، "بمجرد أن ملك [أي بعشا] ، قتل جميع أفراد عائلة يربعام. لم يترك يربعام أي شخص يتنفس بل أهلكهم جميعًا حسب كلمة الرب التي أعطيت لعبده أخيا الشيلوني بسبب الخطايا التي ارتكبها يربعام وجعل إسرائيل يرتكبها لأنه استفز الرب إله إسرائيل. " لذلك لم يستوف يربعام الشرط واختبر الحكم بدلاً من إنشاء سلالة مؤكدة. لكن هذا أمر واضح ومباشر ، وهذا شرط معلن. </w:t>
      </w:r>
      <w:r w:rsidR="006E118B">
        <w:rPr>
          <w:rFonts w:asciiTheme="majorBidi" w:hAnsiTheme="majorBidi" w:cstheme="majorBidi"/>
          <w:sz w:val="26"/>
          <w:szCs w:val="26"/>
        </w:rPr>
        <w:br/>
      </w:r>
      <w:r w:rsidR="006E118B">
        <w:rPr>
          <w:rFonts w:asciiTheme="majorBidi" w:hAnsiTheme="majorBidi" w:cstheme="majorBidi"/>
          <w:sz w:val="26"/>
          <w:szCs w:val="26"/>
        </w:rPr>
        <w:br/>
        <w:t xml:space="preserve">ج. 1 Kings 21: 19-27 Ahab </w:t>
      </w:r>
      <w:r w:rsidR="007E7A37">
        <w:rPr>
          <w:rFonts w:asciiTheme="majorBidi" w:hAnsiTheme="majorBidi" w:cstheme="majorBidi"/>
          <w:sz w:val="26"/>
          <w:szCs w:val="26"/>
        </w:rPr>
        <w:tab/>
      </w:r>
      <w:r w:rsidRPr="0074501E">
        <w:rPr>
          <w:rFonts w:asciiTheme="majorBidi" w:hAnsiTheme="majorBidi" w:cstheme="majorBidi"/>
          <w:sz w:val="26"/>
          <w:szCs w:val="26"/>
        </w:rPr>
        <w:t xml:space="preserve">لنلق نظرة على حالة غير مذكورة ولكن يبدو أنها لا تزال متورطة في التنبؤ. انظر إلى ١ ملوك ٢١:١٩. هذا في سياق استيلاء أخآب على كرم نابوت. </w:t>
      </w:r>
      <w:r w:rsidR="00A95B64">
        <w:rPr>
          <w:rFonts w:asciiTheme="majorBidi" w:hAnsiTheme="majorBidi" w:cstheme="majorBidi"/>
          <w:sz w:val="26"/>
          <w:szCs w:val="26"/>
        </w:rPr>
        <w:t>قال الرب لإيليا أن يقول لأخآب ، "هذا ما قاله الرب: أما قتلت رجلاً واستولت على ملكه؟" فقل له هذا ما قاله الرب: في المكان الذي تلحس فيه الكلاب دم نابوت ، تلحس الكلاب دمك. نعم لك. "إذن هناك نبوءة لكن أهاب تاب ، على الأقل إلى حد ما.</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067D52">
        <w:rPr>
          <w:rFonts w:asciiTheme="majorBidi" w:hAnsiTheme="majorBidi" w:cstheme="majorBidi"/>
          <w:sz w:val="26"/>
          <w:szCs w:val="26"/>
        </w:rPr>
        <w:t xml:space="preserve">انظر إلى الآية 27 ، "فلما سمع أخآب هذه الكلمات مزق ثيابه ولبس المسوح وصام. كان يرقد في قماش الخيش ، ويتجول بخنوع. ثم صارت كلمة الرب إلى إيليا التشبي: هل لاحظت كيف أن أخآب قد خضع </w:t>
      </w:r>
      <w:r w:rsidR="00067D52">
        <w:rPr>
          <w:rFonts w:asciiTheme="majorBidi" w:hAnsiTheme="majorBidi" w:cstheme="majorBidi"/>
          <w:sz w:val="26"/>
          <w:szCs w:val="26"/>
        </w:rPr>
        <w:lastRenderedPageBreak/>
        <w:t>أمامي؟ لأنه أذل نفسه ، لن أجلب هذه الكارثة في يومه. لكني سأحضره في بيته في أيام ابنه. "لذلك تم تعديل الحكم. لم تتم إزالته تمامًا ، ولكن تم تغيير عنصر الوقت في سنه إلى وقت ابنه.</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A95B64">
        <w:rPr>
          <w:rFonts w:asciiTheme="majorBidi" w:hAnsiTheme="majorBidi" w:cstheme="majorBidi"/>
          <w:sz w:val="26"/>
          <w:szCs w:val="26"/>
        </w:rPr>
        <w:t xml:space="preserve">لقد قرأت ذلك في 2 ملوك 9:25 و 26 ، في زمن يورام ، ابن أخآب. قتل على يد ياهو. 2 ملوك 9:25 "قال ياهو لبدقر قائد مركبته التقط يورام والقه في الحقل الذي لنابوت اليزرعيلي. تذكر كيف كنت أنا وأنت نركب معًا في مركبات خلف أخآب والده عندما أعلن الرب عنه هذه النبوءة. "بالأمس رأيت دم نابوت ودم أبنائه ، يقول الرب ، وسأجعلك تدفع ثمن ذلك على قطعة الأرض هذه ، يقول الرب." الآن بعد ذلك ، احمله وألقه في تلك المؤامرة ، وفقًا لكلمة الرب. '' إذن هذا هو التنبؤ بالدينونة التي ستأتي على أخآب والتي تم تعديلها بسبب توبة أخآب ولكن تم فرضها في وقته. ابن يورام تماما كما كان متوقعا. كانت هناك حالة غير مذكورة. </w:t>
      </w:r>
      <w:r w:rsidR="006E118B">
        <w:rPr>
          <w:rFonts w:asciiTheme="majorBidi" w:hAnsiTheme="majorBidi" w:cstheme="majorBidi"/>
          <w:sz w:val="26"/>
          <w:szCs w:val="26"/>
        </w:rPr>
        <w:br/>
      </w:r>
      <w:r w:rsidR="006E118B">
        <w:rPr>
          <w:rFonts w:asciiTheme="majorBidi" w:hAnsiTheme="majorBidi" w:cstheme="majorBidi"/>
          <w:sz w:val="26"/>
          <w:szCs w:val="26"/>
        </w:rPr>
        <w:br/>
        <w:t xml:space="preserve">د. يونان </w:t>
      </w:r>
      <w:r w:rsidR="007E7A37">
        <w:rPr>
          <w:rFonts w:asciiTheme="majorBidi" w:hAnsiTheme="majorBidi" w:cstheme="majorBidi"/>
          <w:sz w:val="26"/>
          <w:szCs w:val="26"/>
        </w:rPr>
        <w:tab/>
      </w:r>
      <w:r w:rsidRPr="0074501E">
        <w:rPr>
          <w:rFonts w:asciiTheme="majorBidi" w:hAnsiTheme="majorBidi" w:cstheme="majorBidi"/>
          <w:sz w:val="26"/>
          <w:szCs w:val="26"/>
        </w:rPr>
        <w:t xml:space="preserve">من المحتمل أن يكون لديك وضع مماثل في يونان. جاء يونان إلى نينوى ، وفي الإصحاح 3: 4 قال: "في 40 يومًا ، ستُسقط نينوى". تابت نينوى واستجابت لرسالته. لم يتم إسقاط نينوى في 40 يومًا. في النهاية ، دُمِّرت نينوى </w:t>
      </w:r>
      <w:r w:rsidR="00067D52">
        <w:rPr>
          <w:rFonts w:asciiTheme="majorBidi" w:hAnsiTheme="majorBidi" w:cstheme="majorBidi"/>
          <w:sz w:val="26"/>
          <w:szCs w:val="26"/>
        </w:rPr>
        <w:t xml:space="preserve">، لكن بعد زمن يونان بوقت طويل. </w:t>
      </w:r>
      <w:r w:rsidR="006E118B">
        <w:rPr>
          <w:rFonts w:asciiTheme="majorBidi" w:hAnsiTheme="majorBidi" w:cstheme="majorBidi"/>
          <w:sz w:val="26"/>
          <w:szCs w:val="26"/>
        </w:rPr>
        <w:br/>
      </w:r>
      <w:r w:rsidR="006E118B">
        <w:rPr>
          <w:rFonts w:asciiTheme="majorBidi" w:hAnsiTheme="majorBidi" w:cstheme="majorBidi"/>
          <w:sz w:val="26"/>
          <w:szCs w:val="26"/>
        </w:rPr>
        <w:br/>
        <w:t>ه. إشعياء ٣٨ ـ حزقيا</w:t>
      </w:r>
    </w:p>
    <w:p w14:paraId="14FD1147" w14:textId="77777777" w:rsidR="00921E7B" w:rsidRPr="0074501E" w:rsidRDefault="00A32BDF" w:rsidP="00A95B64">
      <w:pPr>
        <w:bidi/>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انظر إلى إشعياء ٣٨: ١-٥. </w:t>
      </w:r>
      <w:r w:rsidR="0071516E">
        <w:rPr>
          <w:rFonts w:asciiTheme="majorBidi" w:hAnsiTheme="majorBidi" w:cstheme="majorBidi"/>
          <w:sz w:val="26"/>
          <w:szCs w:val="26"/>
        </w:rPr>
        <w:t>تقرأ هناك ، "في تلك الأيام مرض حزقيا وكان على وشك الموت. فمضى إليه النبي إشعياء بن آموص وقال: هكذا قال الرب: رتب بيتك لأنك ستموت. لن تتعافى. أدار حزقيا وجهه إلى الحائط وصلى إلى الرب قائلاً: "تذكر ، يا رب ، كيف سرت أمامك بأمانة بتفانٍ من كل قلبي ، وعملت ما هو صالح في عينيك." وبكى حزقيا بكاء مرا. ثم صارت كلمة الرب إلى إشعياء: اذهب وقل لحزقيا: هكذا قال الرب إله داود أبيك: سمعت صلواتك ورأيت دموعك. سأضيف خمسة عشر عاما إلى حياتك. وانقذكم وهذه المدينة من يد ملك اشور. سأدافع عن هذه المدينة "." لذلك عند الإعلان الذي أدلى به حزقيا ، "ستموت ، لن تتعافى" ، صلى حزقيا إلى الرب ، ويستجيب الرب ويمنحه 15 عامًا إضافية . لذلك يبدو أنه في كثير من الحالات قد تكون هذه الطبيعة المشروطة من النبوءة التنبؤية.</w:t>
      </w:r>
    </w:p>
    <w:p w14:paraId="4B8C998C" w14:textId="77777777" w:rsidR="00921E7B" w:rsidRPr="0074501E" w:rsidRDefault="00A32BDF" w:rsidP="00A95B64">
      <w:pPr>
        <w:bidi/>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أعتقد أن هذين هما الشيئين البارزين. لا أستطيع التفكير في </w:t>
      </w:r>
      <w:r w:rsidR="007E7A37">
        <w:rPr>
          <w:rFonts w:asciiTheme="majorBidi" w:hAnsiTheme="majorBidi" w:cstheme="majorBidi"/>
          <w:sz w:val="26"/>
          <w:szCs w:val="26"/>
        </w:rPr>
        <w:t xml:space="preserve">الآخرين غير التوبة والصلاة ، مما يعزز جزء التوبة مرة أخرى. يتحدث إرميا 18: 5-10 صراحةً عن الصلاة ، ولديك أمثلة أخرى عندما تشفع موسى من أجل إسرائيل. عندما قال الرب أنه سيفعل شيئًا واحدًا ، صلى موسى وندم الرب. </w:t>
      </w:r>
      <w:r w:rsidR="006E118B">
        <w:rPr>
          <w:rFonts w:asciiTheme="majorBidi" w:hAnsiTheme="majorBidi" w:cstheme="majorBidi"/>
          <w:sz w:val="26"/>
          <w:szCs w:val="26"/>
        </w:rPr>
        <w:br/>
      </w:r>
      <w:r w:rsidR="006E118B">
        <w:rPr>
          <w:rFonts w:asciiTheme="majorBidi" w:hAnsiTheme="majorBidi" w:cstheme="majorBidi"/>
          <w:sz w:val="26"/>
          <w:szCs w:val="26"/>
        </w:rPr>
        <w:br/>
        <w:t xml:space="preserve">F. ج. بارتون باين عن الشرطية يناقش </w:t>
      </w:r>
      <w:r w:rsidR="007E7A37">
        <w:rPr>
          <w:rFonts w:asciiTheme="majorBidi" w:hAnsiTheme="majorBidi" w:cstheme="majorBidi"/>
          <w:sz w:val="26"/>
          <w:szCs w:val="26"/>
        </w:rPr>
        <w:tab/>
        <w:t xml:space="preserve">جي بي باين </w:t>
      </w:r>
      <w:r w:rsidRPr="0074501E">
        <w:rPr>
          <w:rFonts w:asciiTheme="majorBidi" w:hAnsiTheme="majorBidi" w:cstheme="majorBidi"/>
          <w:sz w:val="26"/>
          <w:szCs w:val="26"/>
        </w:rPr>
        <w:t xml:space="preserve">موسوعته </w:t>
      </w:r>
      <w:r w:rsidR="007E7A37" w:rsidRPr="007E7A37">
        <w:rPr>
          <w:rFonts w:asciiTheme="majorBidi" w:hAnsiTheme="majorBidi" w:cstheme="majorBidi"/>
          <w:i/>
          <w:iCs/>
          <w:sz w:val="26"/>
          <w:szCs w:val="26"/>
        </w:rPr>
        <w:t xml:space="preserve">للنبوة الكتابية </w:t>
      </w:r>
      <w:r w:rsidR="007E7A37">
        <w:rPr>
          <w:rFonts w:asciiTheme="majorBidi" w:hAnsiTheme="majorBidi" w:cstheme="majorBidi"/>
          <w:sz w:val="26"/>
          <w:szCs w:val="26"/>
        </w:rPr>
        <w:t xml:space="preserve">، في قسم تمهيدي كبير ، الكثير من قضايا تفسير المواد النبوية. يناقش قضية شرطية النبوة الكتابية. في تلك المناقشة ، يقترح أن بعض القيود يجب أن توضع على المشروطية خشية أن تصبح جميع النبوءات </w:t>
      </w:r>
      <w:r w:rsidRPr="0074501E">
        <w:rPr>
          <w:rFonts w:asciiTheme="majorBidi" w:hAnsiTheme="majorBidi" w:cstheme="majorBidi"/>
          <w:sz w:val="26"/>
          <w:szCs w:val="26"/>
        </w:rPr>
        <w:t xml:space="preserve">غير مؤكدة </w:t>
      </w:r>
      <w:r w:rsidRPr="0074501E">
        <w:rPr>
          <w:rFonts w:asciiTheme="majorBidi" w:hAnsiTheme="majorBidi" w:cstheme="majorBidi"/>
          <w:sz w:val="26"/>
          <w:szCs w:val="26"/>
        </w:rPr>
        <w:lastRenderedPageBreak/>
        <w:t xml:space="preserve">للتحقيق. نرى أن </w:t>
      </w:r>
      <w:r w:rsidR="007E7A37">
        <w:rPr>
          <w:rFonts w:asciiTheme="majorBidi" w:hAnsiTheme="majorBidi" w:cstheme="majorBidi"/>
          <w:sz w:val="26"/>
          <w:szCs w:val="26"/>
        </w:rPr>
        <w:t>هناك خطر التأويل وراء ذلك. إذا كان كل شيء مشروطًا ، فلا يمكنك التأكد من حدوث أي شيء ، خاصة تلك الأشياء التي تقع في قلب برنامج الله التعويضي. أعتقد بالتأكيد أن هناك إحساسًا ، وهذه إضافتي إلى ما يقترحه باين ، وعد الله لإبراهيم في تكوين 12: 3 ، "في نسلك ستُبارك جميع الأمم" ، غير مشروط صراحةً بما يفعله أي إنسان. يجري القيام به لضمان الوفاء بها. سيحدث هذا على وجه اليقين. ستُبارك جميع أمم الأرض من خلال نسل إبراهيم لأن هذا هو جوهر قصد الله الفدائي. لا يوجد شيء ، على ما أعتقد ، يمكن لأي إنسان فعله لتغيير ذلك.</w:t>
      </w:r>
      <w:r w:rsidR="00A95B64">
        <w:rPr>
          <w:rFonts w:asciiTheme="majorBidi" w:hAnsiTheme="majorBidi" w:cstheme="majorBidi"/>
          <w:sz w:val="26"/>
          <w:szCs w:val="26"/>
        </w:rPr>
        <w:br/>
        <w:t xml:space="preserve"> يقترح </w:t>
      </w:r>
      <w:r w:rsidR="00A95B64">
        <w:rPr>
          <w:rFonts w:asciiTheme="majorBidi" w:hAnsiTheme="majorBidi" w:cstheme="majorBidi"/>
          <w:sz w:val="26"/>
          <w:szCs w:val="26"/>
        </w:rPr>
        <w:tab/>
        <w:t xml:space="preserve">Wh </w:t>
      </w:r>
      <w:r w:rsidRPr="0074501E">
        <w:rPr>
          <w:rFonts w:asciiTheme="majorBidi" w:hAnsiTheme="majorBidi" w:cstheme="majorBidi"/>
          <w:sz w:val="26"/>
          <w:szCs w:val="26"/>
        </w:rPr>
        <w:t>في Payne ، وهذه هي صياغته الخاصة ، أنه لكي تظل النبوءة مشروطة ، يجب أن تستوفي شرطين. أولاً ، يجب أن يكون قريب التطبيق. إذا نظرت إلى الأمثلة ، فإنها مناسبة. يونان يكرز لنينوى ، إشعياء أخبر حزقيا عندما سيموت ، إيليا أخبر أخآب كيف سيموت. يجب أن يكون تطبيقًا قريبًا. ثانيًا ، يجب أن تمتلك عناصر قادرة على إرضاء النبي المعاصر. بعبارة أخرى ، هذه الشروط ليست نبوءات بعيدة المدى تشكل جزءًا من حركة برنامج الله التعويضي إلى الأمام وفقًا لتحقيق خطته وهدفه.</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لذا ، أعتقد أن هذا ربما يكون مفيدًا. أعتقد أننا يجب أن ندرك أن هناك جانبًا مشروطًا محتملًا من خلال أي نبوءة معينة ، ولكن كما تم اقتراحه ، فإن هذه الشروط هي الصلاة والتوبة. هناك معاصرة النبوة التي يمكن أن يتحقق من قبل معاصري النبي. إنه تطبيق قريب وليس نبوءة طويلة المدى. </w:t>
      </w:r>
      <w:r w:rsidR="006E118B">
        <w:rPr>
          <w:rFonts w:asciiTheme="majorBidi" w:hAnsiTheme="majorBidi" w:cstheme="majorBidi"/>
          <w:sz w:val="26"/>
          <w:szCs w:val="26"/>
        </w:rPr>
        <w:br/>
      </w:r>
      <w:r w:rsidR="006E118B">
        <w:rPr>
          <w:rFonts w:asciiTheme="majorBidi" w:hAnsiTheme="majorBidi" w:cstheme="majorBidi"/>
          <w:sz w:val="26"/>
          <w:szCs w:val="26"/>
        </w:rPr>
        <w:br/>
        <w:t>7. أنواع النبوة التنبؤية أ. التنبؤ المباشر</w:t>
      </w:r>
    </w:p>
    <w:p w14:paraId="6BEB7802" w14:textId="77777777" w:rsidR="00921E7B" w:rsidRPr="0074501E" w:rsidRDefault="00A32BDF" w:rsidP="00A95B64">
      <w:pPr>
        <w:bidi/>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دعنا </w:t>
      </w:r>
      <w:r w:rsidR="002218D8">
        <w:rPr>
          <w:rFonts w:asciiTheme="majorBidi" w:hAnsiTheme="majorBidi" w:cstheme="majorBidi"/>
          <w:sz w:val="26"/>
          <w:szCs w:val="26"/>
        </w:rPr>
        <w:t xml:space="preserve">ننتقل إلى 7. ، "أنواع النبوءة التنبؤية." ما يدور في ذهني تحت هذا العنوان هو التمييز بين ما قد تسميه التنبؤ المباشر والتنبؤ النموذجي. يتكون التنبؤ المباشر من بيان نبوي يتم </w:t>
      </w:r>
      <w:r w:rsidRPr="0074501E">
        <w:rPr>
          <w:rFonts w:asciiTheme="majorBidi" w:hAnsiTheme="majorBidi" w:cstheme="majorBidi"/>
          <w:sz w:val="26"/>
          <w:szCs w:val="26"/>
        </w:rPr>
        <w:t xml:space="preserve">تحقيقه </w:t>
      </w:r>
      <w:r w:rsidR="00F7249B">
        <w:rPr>
          <w:rFonts w:asciiTheme="majorBidi" w:hAnsiTheme="majorBidi" w:cstheme="majorBidi"/>
          <w:sz w:val="26"/>
          <w:szCs w:val="26"/>
        </w:rPr>
        <w:t xml:space="preserve">فقط في المستقبل. بمعنى آخر ، إنه تأكيد لفظي لشيء سيحدث في المستقبل. يمكنك أن تنظر إلى ميخا 5: 2 ، التي تقول ، "ولكنك ، يا بيت لحم أفراتة ، وإن كنت صغيرًا بين عشائر يهوذا ، يخرج من أجلي شخصًا يكون حاكمًا على إسرائيل ، من أصل قديم ، من العصور القديمة." ثم هذا مقتبس في متى 2: 5-6 ، على أنه تحقق مع المسيح الذي جاء من بيت لحم وأصبح حاكمًا على إسرائيل. هذا بيان ، تأكيد لفظي. </w:t>
      </w:r>
      <w:r w:rsidR="006E118B">
        <w:rPr>
          <w:rFonts w:asciiTheme="majorBidi" w:hAnsiTheme="majorBidi" w:cstheme="majorBidi"/>
          <w:sz w:val="26"/>
          <w:szCs w:val="26"/>
        </w:rPr>
        <w:br/>
      </w:r>
      <w:r w:rsidR="006E118B">
        <w:rPr>
          <w:rFonts w:asciiTheme="majorBidi" w:hAnsiTheme="majorBidi" w:cstheme="majorBidi"/>
          <w:sz w:val="26"/>
          <w:szCs w:val="26"/>
        </w:rPr>
        <w:br/>
        <w:t>ب. التنبؤ النمطي</w:t>
      </w:r>
    </w:p>
    <w:p w14:paraId="4367D100" w14:textId="77777777" w:rsidR="00921E7B" w:rsidRPr="0074501E" w:rsidRDefault="00F7249B" w:rsidP="00A95B64">
      <w:pPr>
        <w:bidi/>
        <w:spacing w:line="360" w:lineRule="auto"/>
        <w:rPr>
          <w:rFonts w:asciiTheme="majorBidi" w:hAnsiTheme="majorBidi" w:cstheme="majorBidi"/>
          <w:sz w:val="26"/>
          <w:szCs w:val="26"/>
        </w:rPr>
      </w:pPr>
      <w:r>
        <w:rPr>
          <w:rFonts w:asciiTheme="majorBidi" w:hAnsiTheme="majorBidi" w:cstheme="majorBidi"/>
          <w:sz w:val="26"/>
          <w:szCs w:val="26"/>
        </w:rPr>
        <w:tab/>
      </w:r>
      <w:r w:rsidR="00A32BDF" w:rsidRPr="0074501E">
        <w:rPr>
          <w:rFonts w:asciiTheme="majorBidi" w:hAnsiTheme="majorBidi" w:cstheme="majorBidi"/>
          <w:sz w:val="26"/>
          <w:szCs w:val="26"/>
        </w:rPr>
        <w:t xml:space="preserve">يتم تمييز </w:t>
      </w:r>
      <w:r>
        <w:rPr>
          <w:rFonts w:asciiTheme="majorBidi" w:hAnsiTheme="majorBidi" w:cstheme="majorBidi"/>
          <w:sz w:val="26"/>
          <w:szCs w:val="26"/>
        </w:rPr>
        <w:t xml:space="preserve">التنبؤ النمطي عن التنبؤ المباشر. </w:t>
      </w:r>
      <w:r w:rsidR="00A32BDF" w:rsidRPr="0074501E">
        <w:rPr>
          <w:rFonts w:asciiTheme="majorBidi" w:hAnsiTheme="majorBidi" w:cstheme="majorBidi"/>
          <w:sz w:val="26"/>
          <w:szCs w:val="26"/>
        </w:rPr>
        <w:t xml:space="preserve">التوقع النمطي هو مؤسسة أو شخص أو حدث يجد أعلى تطبيق له للمعنى في مؤسسة أو شخص أو حدث في فترة لاحقة في التاريخ التعويضي. سأكرر ذلك. التوقع النمطي هو مؤسسة أو شخص أو حدث يجد أعلى تطبيق له للمعنى في مؤسسة أو شخص أو حدث في فترة لاحقة في التاريخ التعويضي. على سبيل المثال ، يجد حمل الفصح أسمى تطبيقاته للمعنى في المسيح نفسه. أو الحية على العمود في البرية. بمعنى آخر ، يتم تحقيق التنبؤ النمطي عن طريق التحديد المسبق أو التصوير. </w:t>
      </w:r>
      <w:r w:rsidR="006E118B">
        <w:rPr>
          <w:rFonts w:asciiTheme="majorBidi" w:hAnsiTheme="majorBidi" w:cstheme="majorBidi"/>
          <w:sz w:val="26"/>
          <w:szCs w:val="26"/>
        </w:rPr>
        <w:br/>
      </w:r>
      <w:r w:rsidR="006E118B">
        <w:rPr>
          <w:rFonts w:asciiTheme="majorBidi" w:hAnsiTheme="majorBidi" w:cstheme="majorBidi"/>
          <w:sz w:val="26"/>
          <w:szCs w:val="26"/>
        </w:rPr>
        <w:lastRenderedPageBreak/>
        <w:br/>
        <w:t>1. جون ستيك في التصنيف</w:t>
      </w:r>
    </w:p>
    <w:p w14:paraId="00C9B29D" w14:textId="77777777" w:rsidR="00921E7B" w:rsidRPr="0074501E" w:rsidRDefault="00A32BDF" w:rsidP="0071516E">
      <w:pPr>
        <w:bidi/>
        <w:spacing w:line="360" w:lineRule="auto"/>
        <w:rPr>
          <w:rFonts w:asciiTheme="majorBidi" w:eastAsia="Times New Roman" w:hAnsiTheme="majorBidi" w:cstheme="majorBidi"/>
          <w:sz w:val="26"/>
          <w:szCs w:val="26"/>
        </w:rPr>
      </w:pPr>
      <w:r w:rsidRPr="0074501E">
        <w:rPr>
          <w:rFonts w:asciiTheme="majorBidi" w:hAnsiTheme="majorBidi" w:cstheme="majorBidi"/>
          <w:sz w:val="26"/>
          <w:szCs w:val="26"/>
        </w:rPr>
        <w:tab/>
        <w:t xml:space="preserve">انظر إلى صفحة الاقتباسات الخاصة بك 24 تحت John Ste </w:t>
      </w:r>
      <w:r w:rsidR="002218D8">
        <w:rPr>
          <w:rFonts w:asciiTheme="majorBidi" w:hAnsiTheme="majorBidi" w:cstheme="majorBidi"/>
          <w:sz w:val="26"/>
          <w:szCs w:val="26"/>
        </w:rPr>
        <w:t xml:space="preserve">k. في تلك الفقرة الأولى من كتاب جون ستيك "التصنيف التوراتي بالأمس واليوم" ، يقول ، "بعبارة أخرى ، النوع هو واقع تاريخي خدم غرضًا تاريخيًا مهمًا في أفقه التاريخي (ليس مجرد هدف رمزي) ، ولكنه وقد صاغته العناية الإلهية أيضًا بطريقة تساهم في تحقيق هدف الله الأكبر ، أي الكشف في مراحل وعمليات متتالية عن الحقائق والمبادئ ذاتها التي كان من المفترض أن تجد في حقائق الإنجيل تحركها نحو الظهور الكامل ". وبهذا المعنى ، يأخذ النوع وظيفة النبوة. وهي تختلف عن النبوة المباشرة ، أي التأكيد اللفظي ، من حيث أنها صور أو أرقام مسبقة ، بينما </w:t>
      </w:r>
      <w:r w:rsidRPr="0074501E">
        <w:rPr>
          <w:rFonts w:asciiTheme="majorBidi" w:hAnsiTheme="majorBidi" w:cstheme="majorBidi"/>
          <w:sz w:val="26"/>
          <w:szCs w:val="26"/>
        </w:rPr>
        <w:t xml:space="preserve">تؤكد النبوءة المباشرة </w:t>
      </w:r>
      <w:r w:rsidR="002218D8">
        <w:rPr>
          <w:rFonts w:asciiTheme="majorBidi" w:hAnsiTheme="majorBidi" w:cstheme="majorBidi"/>
          <w:sz w:val="26"/>
          <w:szCs w:val="26"/>
        </w:rPr>
        <w:t>. إنها لفظية.</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لكنني أعتقد أنه عندما تفكر في محتوى العهد القديم ستجد أن هناك قدرًا لا بأس به من الأهمية النمطية في العهد القديم. هناك أشياء في العهد القديم تتطلع إلى تحقيق أكمل للحقيقة المتجسدة في مؤسسة أو حدث العهد القديم. يخبرنا تاريخ التفسير أنه من الصعب الحفاظ على منظور مناسب لاستخدام التفسير النمطي لأنه كان هناك الكثير من التجاوزات وسوء الاستخدام. إلى أي مدى نذهب معها؟ يتم تحديد بعض حقائق العهد القديم صراحةً على أنها تصنيفية من خلال البيانات الواردة في العهد الجديد ، وهناك لديك أساس راسخ جدًا. ولكن عندما تبدأ في تجاوز ذلك ، إلى أي مدى يمكنك أن تذهب؟ </w:t>
      </w:r>
      <w:r w:rsidR="006E118B">
        <w:rPr>
          <w:rFonts w:asciiTheme="majorBidi" w:hAnsiTheme="majorBidi" w:cstheme="majorBidi"/>
          <w:sz w:val="26"/>
          <w:szCs w:val="26"/>
        </w:rPr>
        <w:br/>
      </w:r>
      <w:r w:rsidR="006E118B">
        <w:rPr>
          <w:rFonts w:asciiTheme="majorBidi" w:hAnsiTheme="majorBidi" w:cstheme="majorBidi"/>
          <w:sz w:val="26"/>
          <w:szCs w:val="26"/>
        </w:rPr>
        <w:br/>
        <w:t xml:space="preserve">ب. Mickelsen on Typology </w:t>
      </w:r>
      <w:r w:rsidR="002218D8">
        <w:rPr>
          <w:rFonts w:asciiTheme="majorBidi" w:hAnsiTheme="majorBidi" w:cstheme="majorBidi"/>
          <w:sz w:val="26"/>
          <w:szCs w:val="26"/>
        </w:rPr>
        <w:tab/>
      </w:r>
      <w:r w:rsidRPr="0074501E">
        <w:rPr>
          <w:rFonts w:asciiTheme="majorBidi" w:hAnsiTheme="majorBidi" w:cstheme="majorBidi"/>
          <w:sz w:val="26"/>
          <w:szCs w:val="26"/>
        </w:rPr>
        <w:t xml:space="preserve">إذا نظرت إلى الصفحة 24 تحت Mickelsen's </w:t>
      </w:r>
      <w:r w:rsidRPr="00D56F59">
        <w:rPr>
          <w:rFonts w:asciiTheme="majorBidi" w:hAnsiTheme="majorBidi" w:cstheme="majorBidi"/>
          <w:i/>
          <w:iCs/>
          <w:sz w:val="26"/>
          <w:szCs w:val="26"/>
        </w:rPr>
        <w:t xml:space="preserve">Interpreting the Bible </w:t>
      </w:r>
      <w:r w:rsidR="00F7249B">
        <w:rPr>
          <w:rFonts w:asciiTheme="majorBidi" w:hAnsiTheme="majorBidi" w:cstheme="majorBidi"/>
          <w:sz w:val="26"/>
          <w:szCs w:val="26"/>
        </w:rPr>
        <w:t>الفقرة A ، فستجد ، "غالبًا ما يصبح التصنيف ذريعة للإثارة في التفسير. يجب أن ينبذ كل مترجم نزيه هذه الإثارة بشدة. ولكن إذا كان المترجم ، المدرك تمامًا لوحدة شعب الله ، قادرًا على إظهار العلاقات التاريخية مع إدراك الاختلافات بين النوع والمثال ، فقد يلاحظ بالتأكيد مثل هذه المتوازيات التاريخية. في مثل هذا النشاط يجب على المترجم أن يؤدب نفسه بشدة ". بعبارة أخرى ، يقول ميكلسن وآخرون بشكل صحيح إنك لا تحتاج إلى تقييد نفسك فقط بتلك الأمثلة التي تم تحديدها بشكل صريح على أنها نموذجية من خلال بيانات كتابية لاحقة. يمكنك الذهاب إلى أبعد من ذلك ، ولكن عليك أن تكون حريصًا لئلا تسيء استخدام هذا الإجراء التأويلي.</w:t>
      </w:r>
      <w:r w:rsidR="00D56F59">
        <w:rPr>
          <w:rFonts w:asciiTheme="majorBidi" w:hAnsiTheme="majorBidi" w:cstheme="majorBidi"/>
          <w:sz w:val="26"/>
          <w:szCs w:val="26"/>
        </w:rPr>
        <w:br/>
        <w:t xml:space="preserve"> </w:t>
      </w:r>
      <w:r w:rsidR="00D56F59">
        <w:rPr>
          <w:rFonts w:asciiTheme="majorBidi" w:hAnsiTheme="majorBidi" w:cstheme="majorBidi"/>
          <w:sz w:val="26"/>
          <w:szCs w:val="26"/>
        </w:rPr>
        <w:tab/>
        <w:t xml:space="preserve">يكمن </w:t>
      </w:r>
      <w:r w:rsidRPr="0074501E">
        <w:rPr>
          <w:rFonts w:asciiTheme="majorBidi" w:hAnsiTheme="majorBidi" w:cstheme="majorBidi"/>
          <w:sz w:val="26"/>
          <w:szCs w:val="26"/>
        </w:rPr>
        <w:t xml:space="preserve">الخطر في الميل نحو الرمزية ، وأعتقد أن الطريقة لتجنب التفسير المجازي ، حيث يمكنك أن تأخذ أي شيء تقريبًا وتعطيه أهمية روحية ، هو التأكد من أن التطابق بين النوع والشكل يحتفظ بوحدة المعنى. بعبارة أخرى ، إنها نفس الحقيقة التي تظهر مرة أخرى في مرحلة لاحقة من التاريخ التعويضي ولكن إلى مستوى أعلى. إنه إعلان أكمل يتقدم حيث يكون لديك حقيقة مجسدة في شكل رمزي ما في مرحلة مبكرة من الفداء ، وتعاود الظهور في التاريخ اللاحق. من يمكنه رسم هذا الخط </w:t>
      </w:r>
      <w:r w:rsidR="00F7249B">
        <w:rPr>
          <w:rFonts w:asciiTheme="majorBidi" w:hAnsiTheme="majorBidi" w:cstheme="majorBidi"/>
          <w:sz w:val="26"/>
          <w:szCs w:val="26"/>
        </w:rPr>
        <w:t>بشكل شرعي؟</w:t>
      </w:r>
      <w:r w:rsidRPr="0074501E">
        <w:rPr>
          <w:rFonts w:asciiTheme="majorBidi" w:hAnsiTheme="majorBidi" w:cstheme="majorBidi"/>
          <w:sz w:val="26"/>
          <w:szCs w:val="26"/>
        </w:rPr>
        <w:t xml:space="preserve"> </w:t>
      </w:r>
      <w:r w:rsidR="006E118B">
        <w:rPr>
          <w:rFonts w:asciiTheme="majorBidi" w:hAnsiTheme="majorBidi" w:cstheme="majorBidi"/>
          <w:sz w:val="26"/>
          <w:szCs w:val="26"/>
        </w:rPr>
        <w:br/>
      </w:r>
      <w:r w:rsidR="006E118B">
        <w:rPr>
          <w:rFonts w:asciiTheme="majorBidi" w:hAnsiTheme="majorBidi" w:cstheme="majorBidi"/>
          <w:sz w:val="26"/>
          <w:szCs w:val="26"/>
        </w:rPr>
        <w:lastRenderedPageBreak/>
        <w:br/>
        <w:t xml:space="preserve">ج. مع </w:t>
      </w:r>
      <w:r w:rsidR="00D56F59">
        <w:rPr>
          <w:rFonts w:asciiTheme="majorBidi" w:hAnsiTheme="majorBidi" w:cstheme="majorBidi"/>
          <w:sz w:val="26"/>
          <w:szCs w:val="26"/>
        </w:rPr>
        <w:tab/>
        <w:t xml:space="preserve">ذلك </w:t>
      </w:r>
      <w:r w:rsidRPr="0074501E">
        <w:rPr>
          <w:rFonts w:asciiTheme="majorBidi" w:hAnsiTheme="majorBidi" w:cstheme="majorBidi"/>
          <w:sz w:val="26"/>
          <w:szCs w:val="26"/>
        </w:rPr>
        <w:t xml:space="preserve">، اسمح لي بتوجيهك إلى الصفحة 25 لأن ما قيل للتو هو مفهوم Vos للتفسير الترميزي حيث يؤسس العلاقة بين الرمز والنوع ويقول أن ما يُرمز إليه ، تلك الحقيقة هي نفس الحقيقة التي يتم تمثيلها . لكن لاحظ أنه يقول ، "عند تحديد وظيفة الشريعة الطقسية ، يجب أن نأخذ في الاعتبار وجهيها الكبيرين ، الرمزي والنموذجي والعلاقة بين الاثنين. تم النظر إلى الأشياء نفسها من وجهة نظر ورموز وأنواع من وجهة نظر أخرى. يعتبر الرمز مهمًا في أهميته الدينية وهو شيء يصور بعمق حقيقة معينة أو مبدأ أو علاقة ذات طبيعة روحية في شكل مرئي. الأشياء التي تصورها هي من الوجود الحالي والتطبيق الحالي ". في الفقرة التالية ، "الشيء المعتاد هو المستقبل." </w:t>
      </w:r>
      <w:r w:rsidRPr="0074501E">
        <w:rPr>
          <w:rFonts w:asciiTheme="majorBidi" w:eastAsia="Times New Roman" w:hAnsiTheme="majorBidi" w:cstheme="majorBidi"/>
          <w:sz w:val="26"/>
          <w:szCs w:val="26"/>
        </w:rPr>
        <w:t>ثم الفقرة التالية ، "الأشياء التي تم ترميزها والأشياء المميّزة ليست مجموعات مختلفة من الأشياء. إنها في الواقع نفس الأشياء ، تختلف فقط في هذا الصدد أنها تأتي أولاً في مرحلة أدنى من التطور في الفداء ، ثم مرة أخرى ، في الفترة اللاحقة ، في مرحلة أعلى ". في منتصف الفقرة التالية ، "فقط بعد اكتشاف ما يرمز إليه شيء ما ، يمكننا بشكل شرعي المضي قدمًا في طرح السؤال عما يرمز إليه ، لأن الأخير لا يمكن أبدًا أن يكون بعيدًا عن السابق أو يتم رفعه إلى مستوى أعلى. يجب أن تكون الرابطة التي تربط النوع والمضاد معًا رابطًا للاستمرارية الحيوية في تقدم الفداء. " لذا أعتقد أن هذه هي القضية - التطابق بين النوع والشبيه. قد يكون لديك نفس الحقيقة في الرمز الذي يظهر مرة أخرى في النوع اللاحق.</w:t>
      </w:r>
      <w:r w:rsidR="00D56F59">
        <w:rPr>
          <w:rFonts w:asciiTheme="majorBidi" w:eastAsia="Times New Roman" w:hAnsiTheme="majorBidi" w:cstheme="majorBidi"/>
          <w:sz w:val="26"/>
          <w:szCs w:val="26"/>
        </w:rPr>
        <w:br/>
        <w:t xml:space="preserve"> </w:t>
      </w:r>
      <w:r w:rsidR="00D56F59">
        <w:rPr>
          <w:rFonts w:asciiTheme="majorBidi" w:eastAsia="Times New Roman" w:hAnsiTheme="majorBidi" w:cstheme="majorBidi"/>
          <w:sz w:val="26"/>
          <w:szCs w:val="26"/>
        </w:rPr>
        <w:tab/>
      </w:r>
      <w:r w:rsidR="00E96F6D">
        <w:rPr>
          <w:rFonts w:asciiTheme="majorBidi" w:eastAsia="Times New Roman" w:hAnsiTheme="majorBidi" w:cstheme="majorBidi"/>
          <w:sz w:val="26"/>
          <w:szCs w:val="26"/>
        </w:rPr>
        <w:t xml:space="preserve">ارجع إلى الصفحة 23. لاحظ ما يقوله Stek هناك في تلك الفقرة الثانية. إنه يشير إلى أن الله قد رتب التاريخ بشكل سيادي لدرجة أن هذا التطابق بين النوع والمضاد له هو شيء حسب التصميم. يقول ، "نظرًا لأن نماذج المهندس المعماري ورسوماته يتم التحكم فيها من خلال رؤيته الواضحة للمبنى الذي سيخدم يومًا ما غرض موكله ، فإن سيد تاريخ الفداء يأمر ببعض الأمور </w:t>
      </w:r>
      <w:r w:rsidRPr="0074501E">
        <w:rPr>
          <w:rFonts w:asciiTheme="majorBidi" w:eastAsia="Times New Roman" w:hAnsiTheme="majorBidi" w:cstheme="majorBidi"/>
          <w:sz w:val="26"/>
          <w:szCs w:val="26"/>
        </w:rPr>
        <w:t xml:space="preserve">في التدبير السابق الذي </w:t>
      </w:r>
      <w:r w:rsidR="00E96F6D">
        <w:rPr>
          <w:rFonts w:asciiTheme="majorBidi" w:eastAsia="Times New Roman" w:hAnsiTheme="majorBidi" w:cstheme="majorBidi"/>
          <w:sz w:val="26"/>
          <w:szCs w:val="26"/>
        </w:rPr>
        <w:t xml:space="preserve">كان له نماذجهم الأصلية في وقت لاحق." أعتقد أن استعارة المهندس هي استعارة جيدة. قد تقول إن الله هو مهندس التاريخ. إنه يرى المبنى بأكمله ، وبالتالي يمكنه أن يبني في التاريخ هذه الحقائق التي تتوقع ظهور نفس الحقيقة في حقائق أخرى في مرحلة لاحقة من التاريخ التعويضي. لكنك ترى أن الكتابة تصبح بعد ذلك جزءًا مهمًا من النبوءة. يجب النظر إليها على أنها وظيفة نبوية بقدر ما هو التنبؤ المباشر ، أو التأكيد اللفظي المباشر. </w:t>
      </w:r>
      <w:r w:rsidR="006E118B">
        <w:rPr>
          <w:rFonts w:asciiTheme="majorBidi" w:eastAsia="Times New Roman" w:hAnsiTheme="majorBidi" w:cstheme="majorBidi"/>
          <w:sz w:val="26"/>
          <w:szCs w:val="26"/>
        </w:rPr>
        <w:br/>
      </w:r>
      <w:r w:rsidR="006E118B">
        <w:rPr>
          <w:rFonts w:asciiTheme="majorBidi" w:eastAsia="Times New Roman" w:hAnsiTheme="majorBidi" w:cstheme="majorBidi"/>
          <w:sz w:val="26"/>
          <w:szCs w:val="26"/>
        </w:rPr>
        <w:br/>
        <w:t>د. خطر الوقوع في رمزية</w:t>
      </w:r>
    </w:p>
    <w:p w14:paraId="54D5DAB2" w14:textId="77777777" w:rsidR="00921E7B" w:rsidRDefault="00E96F6D" w:rsidP="00722D55">
      <w:pPr>
        <w:bidi/>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ab/>
        <w:t xml:space="preserve">الآن قلت إن الخطر </w:t>
      </w:r>
      <w:r w:rsidR="00A32BDF" w:rsidRPr="0074501E">
        <w:rPr>
          <w:rFonts w:asciiTheme="majorBidi" w:eastAsia="Times New Roman" w:hAnsiTheme="majorBidi" w:cstheme="majorBidi"/>
          <w:sz w:val="26"/>
          <w:szCs w:val="26"/>
        </w:rPr>
        <w:t xml:space="preserve">يتحول إلى رمز يفقد التطابق بين النوع والنوع المضاد لكونهما نفس الحقيقة. واسمحوا لي أن أقدم لكم مثالا. كان بعض آباء الكنيسة القدامى مثقلين بالآثار الرمزية. قال فم الذهب عن مذبحة هيرودس للرضع في بيت لحم وقت ولادة المسيح ، "حقيقة أن الأطفال الذين يبلغون من العمر سنتين وما دون فقط قُتلوا بينما يُفترض أن أولئك الثلاثة قد هربوا ، يقصد به أن يعلمنا أن أولئك الذين يحملون سيتم حفظ الإيمان الثالوثي في حين أن الموحدين والثنائيين سوف يموتون بلا شك ". الآن ترى أن هناك ، في رأيي ، </w:t>
      </w:r>
      <w:r w:rsidR="00A32BDF" w:rsidRPr="0074501E">
        <w:rPr>
          <w:rFonts w:asciiTheme="majorBidi" w:eastAsia="Times New Roman" w:hAnsiTheme="majorBidi" w:cstheme="majorBidi"/>
          <w:sz w:val="26"/>
          <w:szCs w:val="26"/>
        </w:rPr>
        <w:lastRenderedPageBreak/>
        <w:t>إساءة معاملة - أنت تسقط في قصة رمزية. أنت تجلب معنى إلى نص لا علاقة له بالنص نفسه على الإطلاق. وهذا هو الخط الذي لا تريد تجاوزه ، لكن هذا الخط هو الذي يحمي Vos منه بالنظام الذي يقترحه لإساءة استخدام التفسيرات النمطية.</w:t>
      </w:r>
      <w:r w:rsidR="006E118B">
        <w:rPr>
          <w:rFonts w:asciiTheme="majorBidi" w:eastAsia="Times New Roman" w:hAnsiTheme="majorBidi" w:cstheme="majorBidi"/>
          <w:sz w:val="26"/>
          <w:szCs w:val="26"/>
        </w:rPr>
        <w:br/>
      </w:r>
    </w:p>
    <w:p w14:paraId="2B33B835" w14:textId="77777777" w:rsidR="006E118B" w:rsidRPr="0074501E" w:rsidRDefault="006E118B" w:rsidP="00722D55">
      <w:pPr>
        <w:bidi/>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سؤال الطالب:</w:t>
      </w:r>
    </w:p>
    <w:p w14:paraId="7A2E8A83" w14:textId="77777777" w:rsidR="00921E7B" w:rsidRPr="0074501E" w:rsidRDefault="00A32BDF" w:rsidP="00AD4ACD">
      <w:pPr>
        <w:bidi/>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سؤال: إذن نحن نتحدث من النوع عن مواقف ، على سبيل المثال ، عندما يكون الدم الذي ذبح الحمل في العهد القديم هو النوع الذي يشير إلى المسيح كما دمه مذبوح؟</w:t>
      </w:r>
    </w:p>
    <w:p w14:paraId="6684CBCF" w14:textId="77777777" w:rsidR="00AD4ACD" w:rsidRDefault="00A32BDF" w:rsidP="00722D55">
      <w:pPr>
        <w:bidi/>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الجواب: نعم ، أعتقد أن هذا صحيح تمامًا هنا - إنها نفس الحقيقة في دم الذبيحة ، وهو بالضبط ما فعله دم المسيح. وكما يشير العبرانيون ، فإن دماء الثيران والماعز لم تستطع أن تكفر في النهاية. كان يشير إلى دم المسيح الذي جعله فعالاً.</w:t>
      </w:r>
    </w:p>
    <w:p w14:paraId="0F8BA6BC" w14:textId="77777777" w:rsidR="0071516E" w:rsidRDefault="0071516E" w:rsidP="0071516E">
      <w:pPr>
        <w:rPr>
          <w:rFonts w:asciiTheme="majorBidi" w:eastAsia="Times New Roman" w:hAnsiTheme="majorBidi" w:cstheme="majorBidi"/>
          <w:sz w:val="26"/>
          <w:szCs w:val="26"/>
        </w:rPr>
      </w:pPr>
    </w:p>
    <w:p w14:paraId="7B88284D" w14:textId="77777777" w:rsidR="00684A0F" w:rsidRPr="00AD4ACD" w:rsidRDefault="00684A0F" w:rsidP="0071516E">
      <w:pPr>
        <w:bidi/>
        <w:rPr>
          <w:rFonts w:asciiTheme="majorBidi" w:hAnsiTheme="majorBidi" w:cstheme="majorBidi"/>
          <w:sz w:val="22"/>
          <w:szCs w:val="22"/>
        </w:rPr>
      </w:pPr>
      <w:r>
        <w:rPr>
          <w:rFonts w:asciiTheme="majorBidi" w:eastAsia="Times New Roman" w:hAnsiTheme="majorBidi" w:cstheme="majorBidi"/>
          <w:sz w:val="26"/>
          <w:szCs w:val="26"/>
        </w:rPr>
        <w:br/>
      </w:r>
      <w:r w:rsidR="00AD4ACD">
        <w:rPr>
          <w:rFonts w:asciiTheme="majorBidi" w:hAnsiTheme="majorBidi" w:cstheme="majorBidi"/>
          <w:sz w:val="22"/>
          <w:szCs w:val="22"/>
        </w:rPr>
        <w:t>نسخها جيسون نوتو مونيز (محرر) ، كاتي توملينسون ، كريستين جوردون ، أمنون مايرز ،</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AD4ACD">
        <w:rPr>
          <w:rFonts w:asciiTheme="majorBidi" w:hAnsiTheme="majorBidi" w:cstheme="majorBidi"/>
          <w:sz w:val="22"/>
          <w:szCs w:val="22"/>
        </w:rPr>
        <w:tab/>
        <w:t xml:space="preserve"> </w:t>
      </w:r>
      <w:r w:rsidRPr="00AD4ACD">
        <w:rPr>
          <w:rFonts w:asciiTheme="majorBidi" w:hAnsiTheme="majorBidi" w:cstheme="majorBidi"/>
          <w:sz w:val="22"/>
          <w:szCs w:val="22"/>
        </w:rPr>
        <w:t>ميليسا ستيفنز وإريك هيلكر</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71516E">
        <w:rPr>
          <w:rFonts w:asciiTheme="majorBidi" w:hAnsiTheme="majorBidi" w:cstheme="majorBidi"/>
          <w:sz w:val="22"/>
          <w:szCs w:val="22"/>
        </w:rPr>
        <w:t>تحرير تقريبي بواسطة تيد هيلدبراندت</w:t>
      </w:r>
      <w:r w:rsidR="0071516E">
        <w:rPr>
          <w:rFonts w:asciiTheme="majorBidi" w:hAnsiTheme="majorBidi" w:cstheme="majorBidi"/>
          <w:sz w:val="22"/>
          <w:szCs w:val="22"/>
        </w:rPr>
        <w:br/>
        <w:t xml:space="preserve"> </w:t>
      </w:r>
      <w:r w:rsidR="0071516E">
        <w:rPr>
          <w:rFonts w:asciiTheme="majorBidi" w:hAnsiTheme="majorBidi" w:cstheme="majorBidi"/>
          <w:sz w:val="22"/>
          <w:szCs w:val="22"/>
        </w:rPr>
        <w:tab/>
        <w:t xml:space="preserve">تحرير نهائي بواسطة كاتي إيلز </w:t>
      </w:r>
      <w:r w:rsidR="00AD4ACD">
        <w:rPr>
          <w:rFonts w:asciiTheme="majorBidi" w:hAnsiTheme="majorBidi" w:cstheme="majorBidi"/>
          <w:sz w:val="22"/>
          <w:szCs w:val="22"/>
        </w:rPr>
        <w:br/>
      </w:r>
      <w:r w:rsidR="00AD4ACD">
        <w:rPr>
          <w:rFonts w:asciiTheme="majorBidi" w:hAnsiTheme="majorBidi" w:cstheme="majorBidi"/>
          <w:sz w:val="22"/>
          <w:szCs w:val="22"/>
        </w:rPr>
        <w:tab/>
        <w:t xml:space="preserve">وأعاد روايته </w:t>
      </w:r>
      <w:r w:rsidR="0071516E">
        <w:rPr>
          <w:rFonts w:asciiTheme="majorBidi" w:hAnsiTheme="majorBidi" w:cstheme="majorBidi"/>
          <w:sz w:val="22"/>
          <w:szCs w:val="22"/>
        </w:rPr>
        <w:t>تيد هيلدبراندت</w:t>
      </w:r>
    </w:p>
    <w:p w14:paraId="317F000B" w14:textId="77777777" w:rsidR="00A32BDF" w:rsidRPr="0074501E" w:rsidRDefault="00A32BDF" w:rsidP="0074501E">
      <w:pPr>
        <w:spacing w:line="360" w:lineRule="auto"/>
        <w:rPr>
          <w:rFonts w:asciiTheme="majorBidi" w:eastAsia="Times New Roman" w:hAnsiTheme="majorBidi" w:cstheme="majorBidi"/>
          <w:sz w:val="26"/>
          <w:szCs w:val="26"/>
        </w:rPr>
      </w:pPr>
    </w:p>
    <w:sectPr w:rsidR="00A32BDF" w:rsidRPr="0074501E" w:rsidSect="00100D82">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BDD7" w14:textId="77777777" w:rsidR="0077685E" w:rsidRDefault="0077685E">
      <w:r>
        <w:separator/>
      </w:r>
    </w:p>
  </w:endnote>
  <w:endnote w:type="continuationSeparator" w:id="0">
    <w:p w14:paraId="5D01DC76" w14:textId="77777777" w:rsidR="0077685E" w:rsidRDefault="0077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A69A" w14:textId="77777777" w:rsidR="00F7249B" w:rsidRDefault="00F7249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EB5E" w14:textId="77777777" w:rsidR="0077685E" w:rsidRDefault="0077685E">
      <w:r>
        <w:separator/>
      </w:r>
    </w:p>
  </w:footnote>
  <w:footnote w:type="continuationSeparator" w:id="0">
    <w:p w14:paraId="1CFC050E" w14:textId="77777777" w:rsidR="0077685E" w:rsidRDefault="00776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4613" w14:textId="77777777" w:rsidR="00F7249B" w:rsidRDefault="00F46AE8">
    <w:pPr>
      <w:pStyle w:val="Header"/>
      <w:bidi/>
      <w:jc w:val="right"/>
    </w:pPr>
    <w:r>
      <w:fldChar w:fldCharType="begin"/>
    </w:r>
    <w:r>
      <w:instrText xml:space="preserve"> PAGE   \* MERGEFORMAT </w:instrText>
    </w:r>
    <w:r>
      <w:fldChar w:fldCharType="separate"/>
    </w:r>
    <w:r w:rsidR="0071516E">
      <w:rPr>
        <w:noProof/>
      </w:rPr>
      <w:t>9</w:t>
    </w:r>
    <w:r>
      <w:rPr>
        <w:noProof/>
      </w:rPr>
      <w:fldChar w:fldCharType="end"/>
    </w:r>
  </w:p>
  <w:p w14:paraId="4706503F" w14:textId="77777777" w:rsidR="00F7249B" w:rsidRDefault="00F7249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501E"/>
    <w:rsid w:val="00067D52"/>
    <w:rsid w:val="00100D82"/>
    <w:rsid w:val="00185501"/>
    <w:rsid w:val="001C27E9"/>
    <w:rsid w:val="002218D8"/>
    <w:rsid w:val="00326C65"/>
    <w:rsid w:val="005F0EED"/>
    <w:rsid w:val="00663F2F"/>
    <w:rsid w:val="00684A0F"/>
    <w:rsid w:val="006E118B"/>
    <w:rsid w:val="006F6A1A"/>
    <w:rsid w:val="0071516E"/>
    <w:rsid w:val="00722D55"/>
    <w:rsid w:val="00725B66"/>
    <w:rsid w:val="0074501E"/>
    <w:rsid w:val="0077685E"/>
    <w:rsid w:val="007E7A37"/>
    <w:rsid w:val="00921E7B"/>
    <w:rsid w:val="00993366"/>
    <w:rsid w:val="00996992"/>
    <w:rsid w:val="009E1C1C"/>
    <w:rsid w:val="00A32BDF"/>
    <w:rsid w:val="00A95B64"/>
    <w:rsid w:val="00AD4ACD"/>
    <w:rsid w:val="00AE008B"/>
    <w:rsid w:val="00CE447D"/>
    <w:rsid w:val="00D56F59"/>
    <w:rsid w:val="00E96F6D"/>
    <w:rsid w:val="00EE3AB1"/>
    <w:rsid w:val="00F46AE8"/>
    <w:rsid w:val="00F7249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CB19"/>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01E"/>
    <w:pPr>
      <w:tabs>
        <w:tab w:val="center" w:pos="4680"/>
        <w:tab w:val="right" w:pos="9360"/>
      </w:tabs>
    </w:pPr>
  </w:style>
  <w:style w:type="character" w:customStyle="1" w:styleId="HeaderChar">
    <w:name w:val="Header Char"/>
    <w:basedOn w:val="DefaultParagraphFont"/>
    <w:link w:val="Header"/>
    <w:uiPriority w:val="99"/>
    <w:rsid w:val="0074501E"/>
    <w:rPr>
      <w:rFonts w:ascii="Times New Roman" w:hAnsi="Times New Roman" w:cs="Times New Roman"/>
      <w:kern w:val="28"/>
      <w:sz w:val="20"/>
      <w:szCs w:val="20"/>
    </w:rPr>
  </w:style>
  <w:style w:type="paragraph" w:styleId="Footer">
    <w:name w:val="footer"/>
    <w:basedOn w:val="Normal"/>
    <w:link w:val="FooterChar"/>
    <w:uiPriority w:val="99"/>
    <w:unhideWhenUsed/>
    <w:rsid w:val="0074501E"/>
    <w:pPr>
      <w:tabs>
        <w:tab w:val="center" w:pos="4680"/>
        <w:tab w:val="right" w:pos="9360"/>
      </w:tabs>
    </w:pPr>
  </w:style>
  <w:style w:type="character" w:customStyle="1" w:styleId="FooterChar">
    <w:name w:val="Footer Char"/>
    <w:basedOn w:val="DefaultParagraphFont"/>
    <w:link w:val="Footer"/>
    <w:uiPriority w:val="99"/>
    <w:rsid w:val="0074501E"/>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996992"/>
    <w:rPr>
      <w:rFonts w:ascii="Tahoma" w:hAnsi="Tahoma" w:cs="Tahoma"/>
      <w:sz w:val="16"/>
      <w:szCs w:val="16"/>
    </w:rPr>
  </w:style>
  <w:style w:type="character" w:customStyle="1" w:styleId="BalloonTextChar">
    <w:name w:val="Balloon Text Char"/>
    <w:basedOn w:val="DefaultParagraphFont"/>
    <w:link w:val="BalloonText"/>
    <w:uiPriority w:val="99"/>
    <w:semiHidden/>
    <w:rsid w:val="0099699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8</Pages>
  <Words>3214</Words>
  <Characters>13982</Characters>
  <Application>Microsoft Office Word</Application>
  <DocSecurity>0</DocSecurity>
  <Lines>218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7</cp:revision>
  <cp:lastPrinted>2023-07-05T14:31:00Z</cp:lastPrinted>
  <dcterms:created xsi:type="dcterms:W3CDTF">2010-12-14T20:41:00Z</dcterms:created>
  <dcterms:modified xsi:type="dcterms:W3CDTF">2023-07-05T14:31:00Z</dcterms:modified>
</cp:coreProperties>
</file>