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42D" w:rsidRPr="00B9442D" w:rsidRDefault="00B9442D" w:rsidP="00425BAA">
      <w:pPr xmlns:w="http://schemas.openxmlformats.org/wordprocessingml/2006/main">
        <w:pStyle w:val="Header"/>
        <w:tabs>
          <w:tab w:val="clear" w:pos="4320"/>
          <w:tab w:val="clear" w:pos="8640"/>
          <w:tab w:val="right" w:pos="9720"/>
        </w:tabs>
        <w:spacing w:line="360" w:lineRule="auto"/>
        <w:ind w:left="-360"/>
        <w:rPr>
          <w:rFonts w:ascii="Times New Roman" w:eastAsia="MS Gothic" w:hAnsi="Times New Roman" w:cs="Times New Roman"/>
          <w:b/>
          <w:sz w:val="28"/>
          <w:szCs w:val="26"/>
        </w:rPr>
      </w:pPr>
      <w:r xmlns:w="http://schemas.openxmlformats.org/wordprocessingml/2006/main">
        <w:rPr>
          <w:rFonts w:ascii="Times New Roman" w:eastAsia="MS Gothic" w:hAnsi="Times New Roman" w:cs="Times New Roman"/>
          <w:b/>
          <w:sz w:val="28"/>
          <w:szCs w:val="26"/>
        </w:rPr>
        <w:t xml:space="preserve">罗伯特·</w:t>
      </w:r>
      <w:proofErr xmlns:w="http://schemas.openxmlformats.org/wordprocessingml/2006/main" w:type="spellStart"/>
      <w:r xmlns:w="http://schemas.openxmlformats.org/wordprocessingml/2006/main" w:rsidRPr="00B9442D">
        <w:rPr>
          <w:rFonts w:ascii="Times New Roman" w:eastAsia="MS Gothic" w:hAnsi="Times New Roman" w:cs="Times New Roman"/>
          <w:b/>
          <w:sz w:val="28"/>
          <w:szCs w:val="26"/>
        </w:rPr>
        <w:t xml:space="preserve">范诺伊</w:t>
      </w:r>
      <w:proofErr xmlns:w="http://schemas.openxmlformats.org/wordprocessingml/2006/main" w:type="spellEnd"/>
      <w:r xmlns:w="http://schemas.openxmlformats.org/wordprocessingml/2006/main" w:rsidRPr="00B9442D">
        <w:rPr>
          <w:rFonts w:ascii="Times New Roman" w:eastAsia="MS Gothic" w:hAnsi="Times New Roman" w:cs="Times New Roman"/>
          <w:b/>
          <w:sz w:val="28"/>
          <w:szCs w:val="26"/>
        </w:rPr>
        <w:t xml:space="preserve">《申命记》第 15 讲</w:t>
      </w:r>
    </w:p>
    <w:p w:rsidR="0015728A" w:rsidRPr="00325C97" w:rsidRDefault="0015728A" w:rsidP="00425BAA">
      <w:pPr xmlns:w="http://schemas.openxmlformats.org/wordprocessingml/2006/main">
        <w:pStyle w:val="NoSpacing"/>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2011 Robert </w:t>
      </w:r>
      <w:proofErr xmlns:w="http://schemas.openxmlformats.org/wordprocessingml/2006/main" w:type="spellStart"/>
      <w:r xmlns:w="http://schemas.openxmlformats.org/wordprocessingml/2006/main" w:rsidRPr="00325C97">
        <w:rPr>
          <w:rFonts w:ascii="Times New Roman" w:hAnsi="Times New Roman" w:cs="Times New Roman"/>
          <w:sz w:val="20"/>
          <w:szCs w:val="20"/>
        </w:rPr>
        <w:t xml:space="preserve">Vannoy博士</w:t>
      </w:r>
      <w:proofErr xmlns:w="http://schemas.openxmlformats.org/wordprocessingml/2006/main" w:type="spellEnd"/>
      <w:r xmlns:w="http://schemas.openxmlformats.org/wordprocessingml/2006/main" w:rsidRPr="00325C97">
        <w:rPr>
          <w:rFonts w:ascii="Times New Roman" w:hAnsi="Times New Roman" w:cs="Times New Roman"/>
          <w:sz w:val="20"/>
          <w:szCs w:val="20"/>
        </w:rPr>
        <w:t xml:space="preserve">、Perry Phillips 博士、Ted Hildebrandt</w:t>
      </w:r>
    </w:p>
    <w:p w:rsidR="001A0503" w:rsidRDefault="001A0503" w:rsidP="001A050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祭坛，总结[最后一讲]</w:t>
      </w:r>
    </w:p>
    <w:p w:rsidR="001A0503" w:rsidRPr="001A0503" w:rsidRDefault="001A0503" w:rsidP="001A050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A0503">
        <w:rPr>
          <w:rFonts w:ascii="Times New Roman" w:hAnsi="Times New Roman" w:cs="Times New Roman"/>
          <w:sz w:val="26"/>
          <w:szCs w:val="26"/>
        </w:rPr>
        <w:t xml:space="preserve">1. 未切割的石头祭坛：出埃及记 20:24-26</w:t>
      </w:r>
    </w:p>
    <w:p w:rsidR="004C4DE3" w:rsidRDefault="0015728A" w:rsidP="001A050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7E37" w:rsidRPr="00B9442D">
        <w:rPr>
          <w:rFonts w:ascii="Times New Roman" w:hAnsi="Times New Roman" w:cs="Times New Roman"/>
          <w:sz w:val="26"/>
          <w:szCs w:val="26"/>
        </w:rPr>
        <w:t xml:space="preserve">为什么只用泥土和未切割的石头来建造祭坛？难道这只是为了荒野吗？霍巴特指出，得出这仅指荒野的结论是不合理的；这是进入迦南之后的时间。这就是要使用的祭坛。事实上，出埃及记第 20 章就在西奈山给出了关于祭坛的指示；在旷野度过了四十年的时间里，没有任何想法。金牛犊的背道并没有发生；律法刚刚在西奈山颁布。人们期待以色列很快就会进入应许之地。在《出埃及记》第 20 章中，对于祭坛的建造方式和地点有严格的规定，人们不能任意选择。请注意，它说：“在所有我记下我名字的地方，我都会到你们那里去。”因此，法规规定了它的建造方式和地点，但没有表明只能使用一个地方。当然，很明显，撒母耳时代的做法符合该律法，并且有不止一座祭坛。因此</w:t>
      </w:r>
      <w:proofErr xmlns:w="http://schemas.openxmlformats.org/wordprocessingml/2006/main" w:type="spellStart"/>
      <w:r xmlns:w="http://schemas.openxmlformats.org/wordprocessingml/2006/main" w:rsidR="00425BAA">
        <w:rPr>
          <w:rFonts w:ascii="Times New Roman" w:hAnsi="Times New Roman" w:cs="Times New Roman"/>
          <w:sz w:val="26"/>
          <w:szCs w:val="26"/>
        </w:rPr>
        <w:t xml:space="preserve">哈尔瓦达</w:t>
      </w:r>
      <w:proofErr xmlns:w="http://schemas.openxmlformats.org/wordprocessingml/2006/main" w:type="spellEnd"/>
      <w:r xmlns:w="http://schemas.openxmlformats.org/wordprocessingml/2006/main" w:rsidR="001A34C8" w:rsidRPr="00B9442D">
        <w:rPr>
          <w:rFonts w:ascii="Times New Roman" w:hAnsi="Times New Roman" w:cs="Times New Roman"/>
          <w:sz w:val="26"/>
          <w:szCs w:val="26"/>
        </w:rPr>
        <w:t xml:space="preserve">提出这样的问题：那么我们如何协调出埃及记 20 章和申命记 12 章呢？我们是通过法律和结论，还是经过一个漫长的发展过程——从最初的多个祭坛发展到单一祭坛的集中化。申命记 12 章要求集中化吗？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lastRenderedPageBreak xmlns:w="http://schemas.openxmlformats.org/wordprocessingml/2006/main"/>
      </w:r>
      <w:r xmlns:w="http://schemas.openxmlformats.org/wordprocessingml/2006/main" w:rsidR="001A0503">
        <w:rPr>
          <w:rFonts w:ascii="Times New Roman" w:hAnsi="Times New Roman" w:cs="Times New Roman"/>
          <w:sz w:val="26"/>
          <w:szCs w:val="26"/>
        </w:rPr>
        <w:t xml:space="preserve">2. 申命记 12:14</w:t>
      </w:r>
      <w:r xmlns:w="http://schemas.openxmlformats.org/wordprocessingml/2006/main" w:rsidR="002C400B">
        <w:rPr>
          <w:rFonts w:ascii="Times New Roman" w:hAnsi="Times New Roman" w:cs="Times New Roman"/>
          <w:sz w:val="26"/>
          <w:szCs w:val="26"/>
        </w:rPr>
        <w:br xmlns:w="http://schemas.openxmlformats.org/wordprocessingml/2006/main"/>
      </w:r>
      <w:r xmlns:w="http://schemas.openxmlformats.org/wordprocessingml/2006/main" w:rsidR="002C400B">
        <w:rPr>
          <w:rFonts w:ascii="Times New Roman" w:hAnsi="Times New Roman" w:cs="Times New Roman"/>
          <w:sz w:val="26"/>
          <w:szCs w:val="26"/>
        </w:rPr>
        <w:t xml:space="preserve"> </w:t>
      </w:r>
      <w:r xmlns:w="http://schemas.openxmlformats.org/wordprocessingml/2006/main" w:rsidR="002C400B">
        <w:rPr>
          <w:rFonts w:ascii="Times New Roman" w:hAnsi="Times New Roman" w:cs="Times New Roman"/>
          <w:sz w:val="26"/>
          <w:szCs w:val="26"/>
        </w:rPr>
        <w:tab xmlns:w="http://schemas.openxmlformats.org/wordprocessingml/2006/main"/>
      </w:r>
      <w:r xmlns:w="http://schemas.openxmlformats.org/wordprocessingml/2006/main" w:rsidR="002C400B">
        <w:rPr>
          <w:rFonts w:ascii="Times New Roman" w:hAnsi="Times New Roman" w:cs="Times New Roman"/>
          <w:sz w:val="26"/>
          <w:szCs w:val="26"/>
        </w:rPr>
        <w:t xml:space="preserve">因此，</w:t>
      </w:r>
      <w:r xmlns:w="http://schemas.openxmlformats.org/wordprocessingml/2006/main" w:rsidR="009A70F4" w:rsidRPr="00B9442D">
        <w:rPr>
          <w:rFonts w:ascii="Times New Roman" w:hAnsi="Times New Roman" w:cs="Times New Roman"/>
          <w:sz w:val="26"/>
          <w:szCs w:val="26"/>
        </w:rPr>
        <w:t xml:space="preserve">第 12 章第 14 节的讨论实际上变成了批判性的经文。你读到第 14 节，在第 13 节开头说：“你们要谨慎，不可随意献燔祭。只在耶和华在你们支派中所选择的地方献祭，并在那里遵守我所吩咐你们的一切。” “不是在每个地方，而是在你的一个部落的某个地方。”</w:t>
      </w:r>
      <w:proofErr xmlns:w="http://schemas.openxmlformats.org/wordprocessingml/2006/main" w:type="spellStart"/>
      <w:r xmlns:w="http://schemas.openxmlformats.org/wordprocessingml/2006/main" w:rsidR="001A0503">
        <w:rPr>
          <w:rFonts w:ascii="Times New Roman" w:hAnsi="Times New Roman" w:cs="Times New Roman"/>
          <w:sz w:val="26"/>
          <w:szCs w:val="26"/>
        </w:rPr>
        <w:t xml:space="preserve">哈尔瓦达</w:t>
      </w:r>
      <w:proofErr xmlns:w="http://schemas.openxmlformats.org/wordprocessingml/2006/main" w:type="spellEnd"/>
      <w:r xmlns:w="http://schemas.openxmlformats.org/wordprocessingml/2006/main" w:rsidR="001A0503" w:rsidRPr="00B9442D">
        <w:rPr>
          <w:rFonts w:ascii="Times New Roman" w:hAnsi="Times New Roman" w:cs="Times New Roman"/>
          <w:sz w:val="26"/>
          <w:szCs w:val="26"/>
        </w:rPr>
        <w:t xml:space="preserve">说，你不能仅仅停留在“在你的一个部落中”这句话中得到的第一印象。 （申命记12:14）根据希伯来语的用法，“any”并不一定只指一个，因为这种表达方式常常与英语单词“any”意思相同——“在你们的任何支派中”。因此它可能意味着“在你的任何一个部落中”或“在你的任意数量的部落中”。目前尚不清楚。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3. 申命记 18:6 利未人来了</w:t>
      </w:r>
      <w:r xmlns:w="http://schemas.openxmlformats.org/wordprocessingml/2006/main" w:rsidR="00425BAA">
        <w:rPr>
          <w:rFonts w:ascii="Times New Roman" w:hAnsi="Times New Roman" w:cs="Times New Roman"/>
          <w:sz w:val="26"/>
          <w:szCs w:val="26"/>
        </w:rPr>
        <w:tab xmlns:w="http://schemas.openxmlformats.org/wordprocessingml/2006/main"/>
      </w:r>
      <w:r xmlns:w="http://schemas.openxmlformats.org/wordprocessingml/2006/main" w:rsidR="007A6DBB" w:rsidRPr="00B9442D">
        <w:rPr>
          <w:rFonts w:ascii="Times New Roman" w:hAnsi="Times New Roman" w:cs="Times New Roman"/>
          <w:sz w:val="26"/>
          <w:szCs w:val="26"/>
        </w:rPr>
        <w:t xml:space="preserve">现在，</w:t>
      </w:r>
      <w:proofErr xmlns:w="http://schemas.openxmlformats.org/wordprocessingml/2006/main" w:type="spellStart"/>
      <w:r xmlns:w="http://schemas.openxmlformats.org/wordprocessingml/2006/main" w:rsidR="00910F79">
        <w:rPr>
          <w:rFonts w:ascii="Times New Roman" w:hAnsi="Times New Roman" w:cs="Times New Roman"/>
          <w:sz w:val="26"/>
          <w:szCs w:val="26"/>
        </w:rPr>
        <w:t xml:space="preserve">哈尔瓦达</w:t>
      </w:r>
      <w:proofErr xmlns:w="http://schemas.openxmlformats.org/wordprocessingml/2006/main" w:type="spellEnd"/>
      <w:r xmlns:w="http://schemas.openxmlformats.org/wordprocessingml/2006/main" w:rsidR="007A6DBB" w:rsidRPr="00B9442D">
        <w:rPr>
          <w:rFonts w:ascii="Times New Roman" w:hAnsi="Times New Roman" w:cs="Times New Roman"/>
          <w:sz w:val="26"/>
          <w:szCs w:val="26"/>
        </w:rPr>
        <w:t xml:space="preserve">指出的是与申命记 18:6 的类比。在</w:t>
      </w:r>
      <w:r xmlns:w="http://schemas.openxmlformats.org/wordprocessingml/2006/main" w:rsidR="007A6DBB" w:rsidRPr="00910F79">
        <w:rPr>
          <w:rFonts w:asciiTheme="majorBidi" w:hAnsiTheme="majorBidi" w:cstheme="majorBidi"/>
          <w:sz w:val="26"/>
          <w:szCs w:val="26"/>
        </w:rPr>
        <w:t xml:space="preserve">申命记 18:6 中，有这样的规定：“若有利未人来”，请注意英王钦定本对此部分的翻译：“</w:t>
      </w:r>
      <w:r xmlns:w="http://schemas.openxmlformats.org/wordprocessingml/2006/main" w:rsidR="00910F79" w:rsidRPr="00910F79">
        <w:rPr>
          <w:rFonts w:asciiTheme="majorBidi" w:hAnsiTheme="majorBidi" w:cstheme="majorBidi"/>
          <w:sz w:val="26"/>
          <w:szCs w:val="26"/>
          <w:lang w:bidi="he-IL"/>
        </w:rPr>
        <w:t xml:space="preserve">若有利未人从他所寄居的以色列全地，从你的任何一个城门来，他将一切所愿的事都往耶和华所选择的地方去，</w:t>
      </w:r>
      <w:r xmlns:w="http://schemas.openxmlformats.org/wordprocessingml/2006/main" w:rsidR="00910F79" w:rsidRPr="00910F79">
        <w:rPr>
          <w:rFonts w:asciiTheme="majorBidi" w:hAnsiTheme="majorBidi" w:cstheme="majorBidi"/>
          <w:sz w:val="26"/>
          <w:szCs w:val="26"/>
        </w:rPr>
        <w:t xml:space="preserve">然后</w:t>
      </w:r>
      <w:r xmlns:w="http://schemas.openxmlformats.org/wordprocessingml/2006/main" w:rsidR="00910F79" w:rsidRPr="00910F79">
        <w:rPr>
          <w:rFonts w:asciiTheme="majorBidi" w:hAnsiTheme="majorBidi" w:cstheme="majorBidi"/>
          <w:sz w:val="26"/>
          <w:szCs w:val="26"/>
          <w:lang w:bidi="he-IL"/>
        </w:rPr>
        <w:t xml:space="preserve">奉耶和华他神的名事奉，像他侍立在耶和华面前的利未弟兄一样。</w:t>
      </w:r>
      <w:r xmlns:w="http://schemas.openxmlformats.org/wordprocessingml/2006/main" w:rsidR="00910F79" w:rsidRPr="00910F79">
        <w:rPr>
          <w:rFonts w:asciiTheme="majorBidi" w:hAnsiTheme="majorBidi" w:cstheme="majorBidi"/>
          <w:sz w:val="26"/>
          <w:szCs w:val="26"/>
        </w:rPr>
        <w:t xml:space="preserve">现在，希伯来语中的表达实际上是相同的，但区别在于希伯来语单词</w:t>
      </w:r>
      <w:r xmlns:w="http://schemas.openxmlformats.org/wordprocessingml/2006/main" w:rsidR="002C400B" w:rsidRPr="002C400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2C400B" w:rsidRPr="002C400B">
        <w:rPr>
          <w:rFonts w:asciiTheme="majorBidi" w:hAnsiTheme="majorBidi" w:cstheme="majorBidi"/>
          <w:i/>
          <w:iCs/>
          <w:sz w:val="26"/>
          <w:szCs w:val="26"/>
        </w:rPr>
        <w:t xml:space="preserve">ehad ”的争论</w:t>
      </w:r>
      <w:proofErr xmlns:w="http://schemas.openxmlformats.org/wordprocessingml/2006/main" w:type="spellEnd"/>
      <w:r xmlns:w="http://schemas.openxmlformats.org/wordprocessingml/2006/main" w:rsidR="002C400B">
        <w:rPr>
          <w:rFonts w:asciiTheme="majorBidi" w:hAnsiTheme="majorBidi" w:cstheme="majorBidi"/>
          <w:sz w:val="26"/>
          <w:szCs w:val="26"/>
        </w:rPr>
        <w:t xml:space="preserve">：“从</w:t>
      </w:r>
      <w:r xmlns:w="http://schemas.openxmlformats.org/wordprocessingml/2006/main" w:rsidR="007A6DBB" w:rsidRPr="00910F79">
        <w:rPr>
          <w:rFonts w:asciiTheme="majorBidi" w:hAnsiTheme="majorBidi" w:cstheme="majorBidi"/>
          <w:sz w:val="26"/>
          <w:szCs w:val="26"/>
        </w:rPr>
        <w:t xml:space="preserve">你的</w:t>
      </w:r>
      <w:r xmlns:w="http://schemas.openxmlformats.org/wordprocessingml/2006/main" w:rsidR="007A6DBB" w:rsidRPr="002C400B">
        <w:rPr>
          <w:rFonts w:asciiTheme="majorBidi" w:hAnsiTheme="majorBidi" w:cstheme="majorBidi"/>
          <w:i/>
          <w:iCs/>
          <w:sz w:val="26"/>
          <w:szCs w:val="26"/>
        </w:rPr>
        <w:t xml:space="preserve">一个门”或“从你的</w:t>
      </w:r>
      <w:r xmlns:w="http://schemas.openxmlformats.org/wordprocessingml/2006/main" w:rsidR="007A6DBB" w:rsidRPr="002C400B">
        <w:rPr>
          <w:rFonts w:asciiTheme="majorBidi" w:hAnsiTheme="majorBidi" w:cstheme="majorBidi"/>
          <w:i/>
          <w:iCs/>
          <w:sz w:val="26"/>
          <w:szCs w:val="26"/>
        </w:rPr>
        <w:t xml:space="preserve">任何一个</w:t>
      </w:r>
      <w:r xmlns:w="http://schemas.openxmlformats.org/wordprocessingml/2006/main" w:rsidR="007A6DBB" w:rsidRPr="00910F79">
        <w:rPr>
          <w:rFonts w:asciiTheme="majorBidi" w:hAnsiTheme="majorBidi" w:cstheme="majorBidi"/>
          <w:sz w:val="26"/>
          <w:szCs w:val="26"/>
        </w:rPr>
        <w:t xml:space="preserve">门”。但重点是，这不是针对来自</w:t>
      </w:r>
      <w:r xmlns:w="http://schemas.openxmlformats.org/wordprocessingml/2006/main" w:rsidR="00EB359B" w:rsidRPr="002C400B">
        <w:rPr>
          <w:rFonts w:asciiTheme="majorBidi" w:hAnsiTheme="majorBidi" w:cstheme="majorBidi"/>
          <w:i/>
          <w:iCs/>
          <w:sz w:val="26"/>
          <w:szCs w:val="26"/>
        </w:rPr>
        <w:t xml:space="preserve">某个</w:t>
      </w:r>
      <w:r xmlns:w="http://schemas.openxmlformats.org/wordprocessingml/2006/main" w:rsidR="00EB359B" w:rsidRPr="00B9442D">
        <w:rPr>
          <w:rFonts w:ascii="Times New Roman" w:hAnsi="Times New Roman" w:cs="Times New Roman"/>
          <w:sz w:val="26"/>
          <w:szCs w:val="26"/>
        </w:rPr>
        <w:t xml:space="preserve">特定门的利未人的规则，而是针对</w:t>
      </w:r>
      <w:r xmlns:w="http://schemas.openxmlformats.org/wordprocessingml/2006/main" w:rsidR="007A6DBB" w:rsidRPr="00B9442D">
        <w:rPr>
          <w:rFonts w:ascii="Times New Roman" w:hAnsi="Times New Roman" w:cs="Times New Roman"/>
          <w:sz w:val="26"/>
          <w:szCs w:val="26"/>
        </w:rPr>
        <w:t xml:space="preserve">来自</w:t>
      </w:r>
      <w:r xmlns:w="http://schemas.openxmlformats.org/wordprocessingml/2006/main" w:rsidR="007A6DBB" w:rsidRPr="002C400B">
        <w:rPr>
          <w:rFonts w:ascii="Times New Roman" w:hAnsi="Times New Roman" w:cs="Times New Roman"/>
          <w:i/>
          <w:iCs/>
          <w:sz w:val="26"/>
          <w:szCs w:val="26"/>
        </w:rPr>
        <w:t xml:space="preserve">任何门的</w:t>
      </w:r>
      <w:r xmlns:w="http://schemas.openxmlformats.org/wordprocessingml/2006/main" w:rsidR="00EB359B" w:rsidRPr="002C400B">
        <w:rPr>
          <w:rFonts w:ascii="Times New Roman" w:hAnsi="Times New Roman" w:cs="Times New Roman"/>
          <w:i/>
          <w:iCs/>
          <w:sz w:val="26"/>
          <w:szCs w:val="26"/>
        </w:rPr>
        <w:t xml:space="preserve">每个利未人的规则</w:t>
      </w:r>
      <w:r xmlns:w="http://schemas.openxmlformats.org/wordprocessingml/2006/main" w:rsidR="007A6DBB" w:rsidRPr="00B9442D">
        <w:rPr>
          <w:rFonts w:ascii="Times New Roman" w:hAnsi="Times New Roman" w:cs="Times New Roman"/>
          <w:sz w:val="26"/>
          <w:szCs w:val="26"/>
        </w:rPr>
        <w:t xml:space="preserve">。 “若有利未人来，就必有利未人从你各城门来。”因此，该表达可以明确地翻译为“from one of”或“from any of”。这在很大程度上取决于</w:t>
      </w:r>
      <w:r xmlns:w="http://schemas.openxmlformats.org/wordprocessingml/2006/main" w:rsidR="007A6DBB" w:rsidRPr="00B9442D">
        <w:rPr>
          <w:rFonts w:ascii="Times New Roman" w:hAnsi="Times New Roman" w:cs="Times New Roman"/>
          <w:sz w:val="26"/>
          <w:szCs w:val="26"/>
        </w:rPr>
        <w:lastRenderedPageBreak xmlns:w="http://schemas.openxmlformats.org/wordprocessingml/2006/main"/>
      </w:r>
      <w:r xmlns:w="http://schemas.openxmlformats.org/wordprocessingml/2006/main" w:rsidR="00EB359B" w:rsidRPr="00B9442D">
        <w:rPr>
          <w:rFonts w:ascii="Times New Roman" w:hAnsi="Times New Roman" w:cs="Times New Roman"/>
          <w:sz w:val="26"/>
          <w:szCs w:val="26"/>
        </w:rPr>
        <w:t xml:space="preserve">它所处的</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7A6DBB" w:rsidRPr="00B9442D">
        <w:rPr>
          <w:rFonts w:ascii="Times New Roman" w:hAnsi="Times New Roman" w:cs="Times New Roman"/>
          <w:sz w:val="26"/>
          <w:szCs w:val="26"/>
        </w:rPr>
        <w:t xml:space="preserve">环境。 </w:t>
      </w:r>
      <w:r xmlns:w="http://schemas.openxmlformats.org/wordprocessingml/2006/main" w:rsidR="001A0503">
        <w:rPr>
          <w:rFonts w:ascii="Times New Roman" w:hAnsi="Times New Roman" w:cs="Times New Roman"/>
          <w:sz w:val="26"/>
          <w:szCs w:val="26"/>
        </w:rPr>
        <w:t xml:space="preserve">4. 申命记 12:14：民数记 16:7 [可拉叛乱]，</w:t>
      </w:r>
      <w:r xmlns:w="http://schemas.openxmlformats.org/wordprocessingml/2006/main" w:rsidR="001A0503">
        <w:rPr>
          <w:rFonts w:ascii="Times New Roman" w:hAnsi="Times New Roman" w:cs="Times New Roman"/>
          <w:sz w:val="26"/>
          <w:szCs w:val="26"/>
        </w:rPr>
        <w:t xml:space="preserve">奇点？</w:t>
      </w:r>
      <w:r xmlns:w="http://schemas.openxmlformats.org/wordprocessingml/2006/main" w:rsidR="00910F79">
        <w:rPr>
          <w:rFonts w:ascii="Times New Roman" w:hAnsi="Times New Roman" w:cs="Times New Roman"/>
          <w:sz w:val="26"/>
          <w:szCs w:val="26"/>
        </w:rPr>
        <w:br xmlns:w="http://schemas.openxmlformats.org/wordprocessingml/2006/main"/>
      </w:r>
      <w:r xmlns:w="http://schemas.openxmlformats.org/wordprocessingml/2006/main" w:rsidR="00910F79">
        <w:rPr>
          <w:rFonts w:ascii="Times New Roman" w:hAnsi="Times New Roman" w:cs="Times New Roman"/>
          <w:sz w:val="26"/>
          <w:szCs w:val="26"/>
        </w:rPr>
        <w:t xml:space="preserve"> </w:t>
      </w:r>
      <w:r xmlns:w="http://schemas.openxmlformats.org/wordprocessingml/2006/main" w:rsidR="00910F79">
        <w:rPr>
          <w:rFonts w:ascii="Times New Roman" w:hAnsi="Times New Roman" w:cs="Times New Roman"/>
          <w:sz w:val="26"/>
          <w:szCs w:val="26"/>
        </w:rPr>
        <w:tab xmlns:w="http://schemas.openxmlformats.org/wordprocessingml/2006/main"/>
      </w:r>
      <w:r xmlns:w="http://schemas.openxmlformats.org/wordprocessingml/2006/main" w:rsidR="00F64B63" w:rsidRPr="00B9442D">
        <w:rPr>
          <w:rFonts w:ascii="Times New Roman" w:hAnsi="Times New Roman" w:cs="Times New Roman"/>
          <w:sz w:val="26"/>
          <w:szCs w:val="26"/>
        </w:rPr>
        <w:t xml:space="preserve">但你会注意到，回到申命记 12 章 14 节，它说：“在那地方”。这不是单数吗？如果指的是多个地方，难道不需要复数“在主所选择的地方”吗？但同样，也不一定；可能会，但不一定如此。在民数记 16 章 7 节中，你读到有关可拉、</w:t>
      </w:r>
      <w:proofErr xmlns:w="http://schemas.openxmlformats.org/wordprocessingml/2006/main" w:type="spellStart"/>
      <w:r xmlns:w="http://schemas.openxmlformats.org/wordprocessingml/2006/main" w:rsidR="00910F79">
        <w:rPr>
          <w:rFonts w:ascii="Times New Roman" w:hAnsi="Times New Roman" w:cs="Times New Roman"/>
          <w:sz w:val="26"/>
          <w:szCs w:val="26"/>
        </w:rPr>
        <w:t xml:space="preserve">大坍</w:t>
      </w:r>
      <w:proofErr xmlns:w="http://schemas.openxmlformats.org/wordprocessingml/2006/main" w:type="spellEnd"/>
      <w:r xmlns:w="http://schemas.openxmlformats.org/wordprocessingml/2006/main" w:rsidR="002C400B">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910F79">
        <w:rPr>
          <w:rFonts w:ascii="Times New Roman" w:hAnsi="Times New Roman" w:cs="Times New Roman"/>
          <w:sz w:val="26"/>
          <w:szCs w:val="26"/>
        </w:rPr>
        <w:t xml:space="preserve">亚比兰</w:t>
      </w:r>
      <w:proofErr xmlns:w="http://schemas.openxmlformats.org/wordprocessingml/2006/main" w:type="spellEnd"/>
      <w:r xmlns:w="http://schemas.openxmlformats.org/wordprocessingml/2006/main" w:rsidR="00F64B63" w:rsidRPr="00B9442D">
        <w:rPr>
          <w:rFonts w:ascii="Times New Roman" w:hAnsi="Times New Roman" w:cs="Times New Roman"/>
          <w:sz w:val="26"/>
          <w:szCs w:val="26"/>
        </w:rPr>
        <w:t xml:space="preserve">在旷野叛乱的起义：“你们把各人的香炉拿来，放在里面，在耶和华面前烧香，明日耶和华所拣选的人，必成为圣洁。你们利未的儿子们，你们承担的太多了”等等。现在的重点是：“主如此选择的人。”那里的短语是相同的：“那个人”是单数，但问题是祭司和由摩西和亚伦组成的领袖的职位是否可以扩展到250人。涉及的人有250人。因此，需要在两个复数之间进行选择，但文本中说“the man”是单数。民数记的意思很清楚：无论是有两个人还是有 250 个人，都使用“人”。它说的是“主所选择的人”，但不一定或仅仅只有</w:t>
      </w:r>
      <w:r xmlns:w="http://schemas.openxmlformats.org/wordprocessingml/2006/main" w:rsidR="00774974" w:rsidRPr="002C400B">
        <w:rPr>
          <w:rFonts w:ascii="Times New Roman" w:hAnsi="Times New Roman" w:cs="Times New Roman"/>
          <w:i/>
          <w:iCs/>
          <w:sz w:val="26"/>
          <w:szCs w:val="26"/>
        </w:rPr>
        <w:t xml:space="preserve">一个</w:t>
      </w:r>
      <w:r xmlns:w="http://schemas.openxmlformats.org/wordprocessingml/2006/main" w:rsidR="00774974" w:rsidRPr="00B9442D">
        <w:rPr>
          <w:rFonts w:ascii="Times New Roman" w:hAnsi="Times New Roman" w:cs="Times New Roman"/>
          <w:sz w:val="26"/>
          <w:szCs w:val="26"/>
        </w:rPr>
        <w:t xml:space="preserve">人。要么是摩西和亚伦，要么是这 250 个人与摩西和亚伦担任同一职务。这将是“主所拣选的人”，但其含义不止一个；是那些要成为领导者的人。</w:t>
      </w:r>
      <w:r xmlns:w="http://schemas.openxmlformats.org/wordprocessingml/2006/main" w:rsidR="00484691">
        <w:rPr>
          <w:rFonts w:ascii="Times New Roman" w:hAnsi="Times New Roman" w:cs="Times New Roman"/>
          <w:sz w:val="26"/>
          <w:szCs w:val="26"/>
        </w:rPr>
        <w:br xmlns:w="http://schemas.openxmlformats.org/wordprocessingml/2006/main"/>
      </w:r>
      <w:r xmlns:w="http://schemas.openxmlformats.org/wordprocessingml/2006/main" w:rsidR="00484691">
        <w:rPr>
          <w:rFonts w:ascii="Times New Roman" w:hAnsi="Times New Roman" w:cs="Times New Roman"/>
          <w:sz w:val="26"/>
          <w:szCs w:val="26"/>
        </w:rPr>
        <w:t xml:space="preserve">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496E3D" w:rsidRPr="00B9442D">
        <w:rPr>
          <w:rFonts w:ascii="Times New Roman" w:hAnsi="Times New Roman" w:cs="Times New Roman"/>
          <w:sz w:val="26"/>
          <w:szCs w:val="26"/>
        </w:rPr>
        <w:t xml:space="preserve">现在，我认为从解经角度来说，你必须根据这一章本身的表述得出结论，申命记第 12 章可以指一个地方和一个支派，也可以指多个地方，但主会在任何支派中表明这一点。它可以根据语言使用来表示。因此，申命记 12 章确实与出埃及记</w:t>
      </w:r>
      <w:r xmlns:w="http://schemas.openxmlformats.org/wordprocessingml/2006/main" w:rsidR="009E7809" w:rsidRPr="00B9442D">
        <w:rPr>
          <w:rFonts w:ascii="Times New Roman" w:hAnsi="Times New Roman" w:cs="Times New Roman"/>
          <w:sz w:val="26"/>
          <w:szCs w:val="26"/>
        </w:rPr>
        <w:lastRenderedPageBreak xmlns:w="http://schemas.openxmlformats.org/wordprocessingml/2006/main"/>
      </w:r>
      <w:r xmlns:w="http://schemas.openxmlformats.org/wordprocessingml/2006/main" w:rsidR="009E7809" w:rsidRPr="00B9442D">
        <w:rPr>
          <w:rFonts w:ascii="Times New Roman" w:hAnsi="Times New Roman" w:cs="Times New Roman"/>
          <w:sz w:val="26"/>
          <w:szCs w:val="26"/>
        </w:rPr>
        <w:t xml:space="preserve">20</w:t>
      </w:r>
      <w:r xmlns:w="http://schemas.openxmlformats.org/wordprocessingml/2006/main" w:rsidR="00484691">
        <w:rPr>
          <w:rFonts w:ascii="Times New Roman" w:hAnsi="Times New Roman" w:cs="Times New Roman"/>
          <w:sz w:val="26"/>
          <w:szCs w:val="26"/>
        </w:rPr>
        <w:t xml:space="preserve">章 24 节说的是同一件事：“在凡我记下我名的地方，我必到那里赐福给你。”问题不是一个或多个，而是这些地点是由人为的、任意的手段还是由神的选择来选择的。它不是在人选择的“每一个地方”，而是在神选择的“地方”。这是多样性还是集中化——不。问题不是一个或多个，而是地点是如何选择的：通过人为的任意手段还是通过神圣的选择？这才是重点。在这一点上，出埃及记和申命记之间存在一致性。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5. 申命记 12:18 全家之旅</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662564" w:rsidRPr="00B9442D">
        <w:rPr>
          <w:rFonts w:ascii="Times New Roman" w:hAnsi="Times New Roman" w:cs="Times New Roman"/>
          <w:sz w:val="26"/>
          <w:szCs w:val="26"/>
        </w:rPr>
        <w:t xml:space="preserve">他还说，出埃及记 20 章的规范背后的主题已被证明是对迦南存在的那种祭坛的禁止。以色列人的祭坛与异教徒迦南人的祭坛截然不同。他们的崇拜不要与迦南人的崇拜混淆。但《出埃及记》中规定的要点是要非常清楚地表明，以色列人的祭坛与迦南人的祭坛有明显的不同。</w:t>
      </w:r>
      <w:r xmlns:w="http://schemas.openxmlformats.org/wordprocessingml/2006/main" w:rsidR="00484691">
        <w:rPr>
          <w:rFonts w:ascii="Times New Roman" w:hAnsi="Times New Roman" w:cs="Times New Roman"/>
          <w:sz w:val="26"/>
          <w:szCs w:val="26"/>
        </w:rPr>
        <w:br xmlns:w="http://schemas.openxmlformats.org/wordprocessingml/2006/main"/>
      </w:r>
      <w:r xmlns:w="http://schemas.openxmlformats.org/wordprocessingml/2006/main" w:rsidR="00484691">
        <w:rPr>
          <w:rFonts w:ascii="Times New Roman" w:hAnsi="Times New Roman" w:cs="Times New Roman"/>
          <w:sz w:val="26"/>
          <w:szCs w:val="26"/>
        </w:rPr>
        <w:t xml:space="preserve">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484691">
        <w:rPr>
          <w:rFonts w:ascii="Times New Roman" w:hAnsi="Times New Roman" w:cs="Times New Roman"/>
          <w:sz w:val="26"/>
          <w:szCs w:val="26"/>
        </w:rPr>
        <w:t xml:space="preserve">他</w:t>
      </w:r>
      <w:r xmlns:w="http://schemas.openxmlformats.org/wordprocessingml/2006/main" w:rsidR="001F05F9" w:rsidRPr="00B9442D">
        <w:rPr>
          <w:rFonts w:ascii="Times New Roman" w:hAnsi="Times New Roman" w:cs="Times New Roman"/>
          <w:sz w:val="26"/>
          <w:szCs w:val="26"/>
        </w:rPr>
        <w:t xml:space="preserve">还说，《申命记》第 12 章说，所有的祭物都要带到选定的一个或多个地方，然后补充说，全家人都会带着仆人和利未人一起出现。申命记十二章十八节：“现在你们和你儿子、女儿、仆人、婢女，并你城里的利未人，都必须站在耶和华你神所选择的地方。”</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 </w:t>
      </w:r>
      <w:r xmlns:w="http://schemas.openxmlformats.org/wordprocessingml/2006/main" w:rsidR="001A0503">
        <w:rPr>
          <w:rFonts w:ascii="Times New Roman" w:hAnsi="Times New Roman" w:cs="Times New Roman"/>
          <w:sz w:val="26"/>
          <w:szCs w:val="26"/>
        </w:rPr>
        <w:tab xmlns:w="http://schemas.openxmlformats.org/wordprocessingml/2006/main"/>
      </w:r>
      <w:r xmlns:w="http://schemas.openxmlformats.org/wordprocessingml/2006/main" w:rsidR="00BA2509" w:rsidRPr="00B9442D">
        <w:rPr>
          <w:rFonts w:ascii="Times New Roman" w:hAnsi="Times New Roman" w:cs="Times New Roman"/>
          <w:sz w:val="26"/>
          <w:szCs w:val="26"/>
        </w:rPr>
        <w:t xml:space="preserve">现在他指出的是，这是全家、仆人和利未人。想想这对于加利利以北距离耶路撒冷 150 公里的丹这样的城市来说实际上意味着什么。每年至少在收获高峰期举行三次自愿供养和其他必需的供养。全家人要去</w:t>
      </w:r>
      <w:r xmlns:w="http://schemas.openxmlformats.org/wordprocessingml/2006/main" w:rsidR="00CD30D2" w:rsidRPr="00B9442D">
        <w:rPr>
          <w:rFonts w:ascii="Times New Roman" w:hAnsi="Times New Roman" w:cs="Times New Roman"/>
          <w:sz w:val="26"/>
          <w:szCs w:val="26"/>
        </w:rPr>
        <w:t xml:space="preserve">耶路撒冷</w:t>
      </w:r>
      <w:r xmlns:w="http://schemas.openxmlformats.org/wordprocessingml/2006/main" w:rsidR="00BA2509" w:rsidRPr="00B9442D">
        <w:rPr>
          <w:rFonts w:ascii="Times New Roman" w:hAnsi="Times New Roman" w:cs="Times New Roman"/>
          <w:sz w:val="26"/>
          <w:szCs w:val="26"/>
        </w:rPr>
        <w:t xml:space="preserve">旅行</w:t>
      </w:r>
      <w:r xmlns:w="http://schemas.openxmlformats.org/wordprocessingml/2006/main" w:rsidR="00CD30D2" w:rsidRPr="00B9442D">
        <w:rPr>
          <w:rFonts w:ascii="Times New Roman" w:hAnsi="Times New Roman" w:cs="Times New Roman"/>
          <w:sz w:val="26"/>
          <w:szCs w:val="26"/>
        </w:rPr>
        <w:lastRenderedPageBreak xmlns:w="http://schemas.openxmlformats.org/wordprocessingml/2006/main"/>
      </w:r>
      <w:r xmlns:w="http://schemas.openxmlformats.org/wordprocessingml/2006/main" w:rsidR="001F05F9" w:rsidRPr="00B9442D">
        <w:rPr>
          <w:rFonts w:ascii="Times New Roman" w:hAnsi="Times New Roman" w:cs="Times New Roman"/>
          <w:sz w:val="26"/>
          <w:szCs w:val="26"/>
        </w:rPr>
        <w:t xml:space="preserve">。现在，</w:t>
      </w:r>
      <w:proofErr xmlns:w="http://schemas.openxmlformats.org/wordprocessingml/2006/main" w:type="spellStart"/>
      <w:r xmlns:w="http://schemas.openxmlformats.org/wordprocessingml/2006/main" w:rsidR="00E5383D">
        <w:rPr>
          <w:rFonts w:ascii="Times New Roman" w:hAnsi="Times New Roman" w:cs="Times New Roman"/>
          <w:sz w:val="26"/>
          <w:szCs w:val="26"/>
        </w:rPr>
        <w:t xml:space="preserve">哈尔瓦达</w:t>
      </w:r>
      <w:proofErr xmlns:w="http://schemas.openxmlformats.org/wordprocessingml/2006/main" w:type="spellEnd"/>
      <w:r xmlns:w="http://schemas.openxmlformats.org/wordprocessingml/2006/main" w:rsidR="00E5383D">
        <w:rPr>
          <w:rFonts w:ascii="Times New Roman" w:hAnsi="Times New Roman" w:cs="Times New Roman"/>
          <w:sz w:val="26"/>
          <w:szCs w:val="26"/>
        </w:rPr>
        <w:t xml:space="preserve">在他的文章中讨论了在欧洲背景下的含义。至少大约需要缺席一周。就像我们今天去佛罗里达，或者其他地方，或者可能更远的地方，去提供这些必需的产品。那么利未人呢？考虑一下村里是否有很多家庭。利未人会全年都在路上。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6. 单一圣所但祭坛众多</w:t>
      </w:r>
      <w:r xmlns:w="http://schemas.openxmlformats.org/wordprocessingml/2006/main" w:rsidR="001A0503">
        <w:rPr>
          <w:rFonts w:ascii="Times New Roman" w:hAnsi="Times New Roman" w:cs="Times New Roman"/>
          <w:sz w:val="26"/>
          <w:szCs w:val="26"/>
        </w:rPr>
        <w:tab xmlns:w="http://schemas.openxmlformats.org/wordprocessingml/2006/main"/>
      </w:r>
      <w:r xmlns:w="http://schemas.openxmlformats.org/wordprocessingml/2006/main" w:rsidR="00C36CDF">
        <w:rPr>
          <w:rFonts w:ascii="Times New Roman" w:hAnsi="Times New Roman" w:cs="Times New Roman"/>
          <w:sz w:val="26"/>
          <w:szCs w:val="26"/>
        </w:rPr>
        <w:t xml:space="preserve">然后</w:t>
      </w:r>
      <w:proofErr xmlns:w="http://schemas.openxmlformats.org/wordprocessingml/2006/main" w:type="spellStart"/>
      <w:r xmlns:w="http://schemas.openxmlformats.org/wordprocessingml/2006/main" w:rsidR="00484691">
        <w:rPr>
          <w:rFonts w:ascii="Times New Roman" w:hAnsi="Times New Roman" w:cs="Times New Roman"/>
          <w:sz w:val="26"/>
          <w:szCs w:val="26"/>
        </w:rPr>
        <w:t xml:space="preserve">哈尔瓦达</w:t>
      </w:r>
      <w:proofErr xmlns:w="http://schemas.openxmlformats.org/wordprocessingml/2006/main" w:type="spellEnd"/>
      <w:r xmlns:w="http://schemas.openxmlformats.org/wordprocessingml/2006/main" w:rsidR="00484691">
        <w:rPr>
          <w:rFonts w:ascii="Times New Roman" w:hAnsi="Times New Roman" w:cs="Times New Roman"/>
          <w:sz w:val="26"/>
          <w:szCs w:val="26"/>
        </w:rPr>
        <w:t xml:space="preserve">说：“如果你是来自北方城镇的利未人，为什么不留在耶路撒冷并在他们到来时迎接他们呢？”他说，只有一个祭祀场所是不切实际的。它无法执行。他的结论是，以色列从来没有一部法律将邪教束缚在一个地方。相反，他们总是生活在规定了当地场所和中央圣所的法律之下——最初在示罗，后来在耶路撒冷。这并不意味着没有中央圣所，也没有与约柜和圣殿相关的圣所的首要地位，但这并不意味着除圣所以外的任何其他祭坛上的任何祭品都是排他性或非法的。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7. 祭坛的位置</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260005" w:rsidRPr="00B9442D">
        <w:rPr>
          <w:rFonts w:ascii="Times New Roman" w:hAnsi="Times New Roman" w:cs="Times New Roman"/>
          <w:sz w:val="26"/>
          <w:szCs w:val="26"/>
        </w:rPr>
        <w:t xml:space="preserve">所以他说，所规定的是祭坛的建造地点：不是任意的地方，而是主明确规定的地方。如何？通过神显或任何没有明确描述的东西，但它仅限于主指示的地方。建造祭坛的材料要受到管制，所带来的祭物也要受到管制。因此，神在各地提供了分散的祭坛，但这并不意味着每个村庄或每隔几英里就有一座祭坛——只是任意地到处都有——因为《申命记》12:21说：“如果耶和华所定</w:t>
      </w:r>
      <w:r xmlns:w="http://schemas.openxmlformats.org/wordprocessingml/2006/main" w:rsidR="00885E18" w:rsidRPr="00B9442D">
        <w:rPr>
          <w:rFonts w:ascii="Times New Roman" w:hAnsi="Times New Roman" w:cs="Times New Roman"/>
          <w:sz w:val="26"/>
          <w:szCs w:val="26"/>
        </w:rPr>
        <w:lastRenderedPageBreak xmlns:w="http://schemas.openxmlformats.org/wordprocessingml/2006/main"/>
      </w:r>
      <w:r xmlns:w="http://schemas.openxmlformats.org/wordprocessingml/2006/main" w:rsidR="00197D83" w:rsidRPr="00B9442D">
        <w:rPr>
          <w:rFonts w:ascii="Times New Roman" w:hAnsi="Times New Roman" w:cs="Times New Roman"/>
          <w:sz w:val="26"/>
          <w:szCs w:val="26"/>
        </w:rPr>
        <w:t xml:space="preserve">的</w:t>
      </w:r>
      <w:r xmlns:w="http://schemas.openxmlformats.org/wordprocessingml/2006/main" w:rsidR="00885E18" w:rsidRPr="00B9442D">
        <w:rPr>
          <w:rFonts w:ascii="Times New Roman" w:hAnsi="Times New Roman" w:cs="Times New Roman"/>
          <w:sz w:val="26"/>
          <w:szCs w:val="26"/>
        </w:rPr>
        <w:t xml:space="preserve">地方</w:t>
      </w:r>
      <w:r xmlns:w="http://schemas.openxmlformats.org/wordprocessingml/2006/main" w:rsidR="00197D83" w:rsidRPr="00B9442D">
        <w:rPr>
          <w:rFonts w:ascii="Times New Roman" w:hAnsi="Times New Roman" w:cs="Times New Roman"/>
          <w:sz w:val="26"/>
          <w:szCs w:val="26"/>
        </w:rPr>
        <w:t xml:space="preserve">你的上帝已选择将他的名字放在远离你的地方，然后你可以宰杀耶和华赐给你并命令你的牛群和羊群，然后你可以在你的城门口吃任何你灵魂想要吃的东西。”换句话说，除了进入保护区屠宰动物外，动物还可以在其他地方被宰杀或食用。距离可能会让这变得不切实际。因此，听起来祭坛并不只是遍布这片土地上的任何地方，与主对某些地方的指定有一些限制，但不限于中央圣所，所有其他祭坛都是非法的。因此，上帝提供了许多祭坛，以防止他的子民</w:t>
      </w:r>
      <w:r xmlns:w="http://schemas.openxmlformats.org/wordprocessingml/2006/main" w:rsidR="00E5383D">
        <w:rPr>
          <w:rFonts w:ascii="Times New Roman" w:hAnsi="Times New Roman" w:cs="Times New Roman"/>
          <w:sz w:val="26"/>
          <w:szCs w:val="26"/>
        </w:rPr>
        <w:t xml:space="preserve">受到周围</w:t>
      </w:r>
      <w:r xmlns:w="http://schemas.openxmlformats.org/wordprocessingml/2006/main" w:rsidR="00E5383D">
        <w:rPr>
          <w:rFonts w:ascii="Times New Roman" w:hAnsi="Times New Roman" w:cs="Times New Roman"/>
          <w:sz w:val="26"/>
          <w:szCs w:val="26"/>
        </w:rPr>
        <w:t xml:space="preserve">迦南</w:t>
      </w:r>
      <w:proofErr xmlns:w="http://schemas.openxmlformats.org/wordprocessingml/2006/main" w:type="spellEnd"/>
      <w:r xmlns:w="http://schemas.openxmlformats.org/wordprocessingml/2006/main" w:rsidR="00197D83" w:rsidRPr="00B9442D">
        <w:rPr>
          <w:rFonts w:ascii="Times New Roman" w:hAnsi="Times New Roman" w:cs="Times New Roman"/>
          <w:sz w:val="26"/>
          <w:szCs w:val="26"/>
        </w:rPr>
        <w:t xml:space="preserve">崇拜的诱惑，并根据上帝所制定的献祭制度的规定，使他们保持团契，但又不会因为极端的原因而使该制度几乎不可能遵循。</w:t>
      </w:r>
      <w:proofErr xmlns:w="http://schemas.openxmlformats.org/wordprocessingml/2006/main" w:type="spellStart"/>
      <w:r xmlns:w="http://schemas.openxmlformats.org/wordprocessingml/2006/main" w:rsidR="00E5383D">
        <w:rPr>
          <w:rFonts w:ascii="Times New Roman" w:hAnsi="Times New Roman" w:cs="Times New Roman"/>
          <w:sz w:val="26"/>
          <w:szCs w:val="26"/>
        </w:rPr>
        <w:t xml:space="preserve">距离。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8.曼利的</w:t>
      </w:r>
      <w:proofErr xmlns:w="http://schemas.openxmlformats.org/wordprocessingml/2006/main" w:type="spellStart"/>
      <w:r xmlns:w="http://schemas.openxmlformats.org/wordprocessingml/2006/main" w:rsidR="001A0503">
        <w:rPr>
          <w:rFonts w:ascii="Times New Roman" w:hAnsi="Times New Roman" w:cs="Times New Roman"/>
          <w:sz w:val="26"/>
          <w:szCs w:val="26"/>
        </w:rPr>
        <w:t xml:space="preserve">结论</w:t>
      </w:r>
      <w:proofErr xmlns:w="http://schemas.openxmlformats.org/wordprocessingml/2006/main" w:type="spellEnd"/>
      <w:r xmlns:w="http://schemas.openxmlformats.org/wordprocessingml/2006/main" w:rsidR="001A0503">
        <w:rPr>
          <w:rFonts w:ascii="Times New Roman" w:hAnsi="Times New Roman" w:cs="Times New Roman"/>
          <w:sz w:val="26"/>
          <w:szCs w:val="26"/>
        </w:rPr>
        <w:t xml:space="preserve">：不是祭坛的数量而是它们的性格</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E5383D">
        <w:rPr>
          <w:rFonts w:ascii="Times New Roman" w:hAnsi="Times New Roman" w:cs="Times New Roman"/>
          <w:sz w:val="26"/>
          <w:szCs w:val="26"/>
        </w:rPr>
        <w:t xml:space="preserve">基本上，这就是</w:t>
      </w:r>
      <w:proofErr xmlns:w="http://schemas.openxmlformats.org/wordprocessingml/2006/main" w:type="spellStart"/>
      <w:r xmlns:w="http://schemas.openxmlformats.org/wordprocessingml/2006/main" w:rsidR="00367727">
        <w:rPr>
          <w:rFonts w:ascii="Times New Roman" w:hAnsi="Times New Roman" w:cs="Times New Roman"/>
          <w:sz w:val="26"/>
          <w:szCs w:val="26"/>
        </w:rPr>
        <w:t xml:space="preserve">哈尔瓦达的</w:t>
      </w:r>
      <w:proofErr xmlns:w="http://schemas.openxmlformats.org/wordprocessingml/2006/main" w:type="spellEnd"/>
      <w:r xmlns:w="http://schemas.openxmlformats.org/wordprocessingml/2006/main" w:rsidR="00367727">
        <w:rPr>
          <w:rFonts w:ascii="Times New Roman" w:hAnsi="Times New Roman" w:cs="Times New Roman"/>
          <w:sz w:val="26"/>
          <w:szCs w:val="26"/>
        </w:rPr>
        <w:t xml:space="preserve">观点。我想说，当我们阅读汤普森的评论和介绍时，你会发现他的立场大致相同。如果你也想看到非常相似的观点，</w:t>
      </w:r>
      <w:r xmlns:w="http://schemas.openxmlformats.org/wordprocessingml/2006/main" w:rsidR="00701591" w:rsidRPr="00B9442D">
        <w:rPr>
          <w:rFonts w:ascii="Times New Roman" w:hAnsi="Times New Roman" w:cs="Times New Roman"/>
          <w:sz w:val="26"/>
          <w:szCs w:val="26"/>
        </w:rPr>
        <w:t xml:space="preserve">我已经请研究生阅读了曼利的</w:t>
      </w:r>
      <w:r xmlns:w="http://schemas.openxmlformats.org/wordprocessingml/2006/main" w:rsidR="00367727" w:rsidRPr="00367727">
        <w:rPr>
          <w:rFonts w:ascii="Times New Roman" w:hAnsi="Times New Roman" w:cs="Times New Roman"/>
          <w:i/>
          <w:iCs/>
          <w:sz w:val="26"/>
          <w:szCs w:val="26"/>
        </w:rPr>
        <w:t xml:space="preserve">《法律之书》 。</w:t>
      </w:r>
      <w:r xmlns:w="http://schemas.openxmlformats.org/wordprocessingml/2006/main" w:rsidR="00701591" w:rsidRPr="00B9442D">
        <w:rPr>
          <w:rFonts w:ascii="Times New Roman" w:hAnsi="Times New Roman" w:cs="Times New Roman"/>
          <w:sz w:val="26"/>
          <w:szCs w:val="26"/>
        </w:rPr>
        <w:t xml:space="preserve">曼利用了一整章的篇幅讨论了这个问题，基本上他得出了同样的结论。他说：“中心化语言的使用能够将这种解释读出或读入其中。申命记第 12 章的真正焦点不是在许多耶和华祭坛和一个祭坛之间，而是在迦南人和其他名字将被毁灭的神的祭坛与耶和华所居住的地方和地方的名称之间。问题不在于他们的数量，而在于他们的性格。 “无论是根据一个中心还是多个中心来解读这些文字，都不排除其他祭坛被愚昧授权的可能性。申命记 16:21、22 章</w:t>
      </w:r>
      <w:r xmlns:w="http://schemas.openxmlformats.org/wordprocessingml/2006/main" w:rsidR="00764D12" w:rsidRPr="00B9442D">
        <w:rPr>
          <w:rFonts w:ascii="Times New Roman" w:hAnsi="Times New Roman" w:cs="Times New Roman"/>
          <w:sz w:val="26"/>
          <w:szCs w:val="26"/>
        </w:rPr>
        <w:lastRenderedPageBreak xmlns:w="http://schemas.openxmlformats.org/wordprocessingml/2006/main"/>
      </w:r>
      <w:r xmlns:w="http://schemas.openxmlformats.org/wordprocessingml/2006/main" w:rsidR="00764D12" w:rsidRPr="00B9442D">
        <w:rPr>
          <w:rFonts w:ascii="Times New Roman" w:hAnsi="Times New Roman" w:cs="Times New Roman"/>
          <w:sz w:val="26"/>
          <w:szCs w:val="26"/>
        </w:rPr>
        <w:t xml:space="preserve">考虑</w:t>
      </w:r>
      <w:r xmlns:w="http://schemas.openxmlformats.org/wordprocessingml/2006/main" w:rsidR="009C18CA" w:rsidRPr="00B9442D">
        <w:rPr>
          <w:rFonts w:ascii="Times New Roman" w:hAnsi="Times New Roman" w:cs="Times New Roman"/>
          <w:sz w:val="26"/>
          <w:szCs w:val="26"/>
        </w:rPr>
        <w:t xml:space="preserve">了它们的存在，并且在申命记 27 章中命令建造一个。因此，《申命记》中反对的并不是祭坛的多重性。</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367727">
        <w:rPr>
          <w:rFonts w:ascii="Times New Roman" w:hAnsi="Times New Roman" w:cs="Times New Roman"/>
          <w:sz w:val="26"/>
          <w:szCs w:val="26"/>
        </w:rPr>
        <w:t xml:space="preserve">另一本书</w:t>
      </w:r>
      <w:r xmlns:w="http://schemas.openxmlformats.org/wordprocessingml/2006/main" w:rsidR="00F93B9E">
        <w:rPr>
          <w:rFonts w:ascii="Times New Roman" w:hAnsi="Times New Roman" w:cs="Times New Roman"/>
          <w:sz w:val="26"/>
          <w:szCs w:val="26"/>
        </w:rPr>
        <w:t xml:space="preserve">是 HM Segal </w:t>
      </w:r>
      <w:r xmlns:w="http://schemas.openxmlformats.org/wordprocessingml/2006/main" w:rsidR="00367727" w:rsidRPr="00367727">
        <w:rPr>
          <w:rFonts w:ascii="Times New Roman" w:hAnsi="Times New Roman" w:cs="Times New Roman"/>
          <w:i/>
          <w:iCs/>
          <w:sz w:val="26"/>
          <w:szCs w:val="26"/>
        </w:rPr>
        <w:t xml:space="preserve">，《摩西五经：其构成和作者》。</w:t>
      </w:r>
      <w:r xmlns:w="http://schemas.openxmlformats.org/wordprocessingml/2006/main" w:rsidR="001568DA" w:rsidRPr="00B9442D">
        <w:rPr>
          <w:rFonts w:ascii="Times New Roman" w:hAnsi="Times New Roman" w:cs="Times New Roman"/>
          <w:sz w:val="26"/>
          <w:szCs w:val="26"/>
        </w:rPr>
        <w:t xml:space="preserve">其中有一章是关于崇拜的集中化，第 87 页及后续内容。我可以读到，但我认为我们的时间即将结束，而且这又是基本相同的结论。曼利、汤普森、西格尔普遍认为申命记立法并未排除耶路撒冷祭坛的多样性。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9. 课程总结——3个领域：结构和完整性（条约）、崇拜的集中化和法典的顺序</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1568DA" w:rsidRPr="00B9442D">
        <w:rPr>
          <w:rFonts w:ascii="Times New Roman" w:hAnsi="Times New Roman" w:cs="Times New Roman"/>
          <w:sz w:val="26"/>
          <w:szCs w:val="26"/>
        </w:rPr>
        <w:t xml:space="preserve">现在，在我看来，正如我们在整个介绍性部分得出的结论一样，申命记研究中存在三个问题这些都是很重要的，目前在这方面有一个非常可靠的正统的批判理论对应物。第一个是本书的整体结构，克莱恩的著作和其他与条约/盟约类比的著作提供了一个很好的论据，支持申命记的完整性和统一性，反对批判理论。</w:t>
      </w:r>
      <w:r xmlns:w="http://schemas.openxmlformats.org/wordprocessingml/2006/main" w:rsidR="00F93B9E">
        <w:rPr>
          <w:rFonts w:ascii="Times New Roman" w:hAnsi="Times New Roman" w:cs="Times New Roman"/>
          <w:sz w:val="26"/>
          <w:szCs w:val="26"/>
        </w:rPr>
        <w:br xmlns:w="http://schemas.openxmlformats.org/wordprocessingml/2006/main"/>
      </w:r>
      <w:r xmlns:w="http://schemas.openxmlformats.org/wordprocessingml/2006/main" w:rsidR="00F93B9E">
        <w:rPr>
          <w:rFonts w:ascii="Times New Roman" w:hAnsi="Times New Roman" w:cs="Times New Roman"/>
          <w:sz w:val="26"/>
          <w:szCs w:val="26"/>
        </w:rPr>
        <w:t xml:space="preserve"> </w:t>
      </w:r>
      <w:r xmlns:w="http://schemas.openxmlformats.org/wordprocessingml/2006/main" w:rsidR="00F93B9E">
        <w:rPr>
          <w:rFonts w:ascii="Times New Roman" w:hAnsi="Times New Roman" w:cs="Times New Roman"/>
          <w:sz w:val="26"/>
          <w:szCs w:val="26"/>
        </w:rPr>
        <w:tab xmlns:w="http://schemas.openxmlformats.org/wordprocessingml/2006/main"/>
      </w:r>
      <w:r xmlns:w="http://schemas.openxmlformats.org/wordprocessingml/2006/main" w:rsidR="001568DA" w:rsidRPr="00B9442D">
        <w:rPr>
          <w:rFonts w:ascii="Times New Roman" w:hAnsi="Times New Roman" w:cs="Times New Roman"/>
          <w:sz w:val="26"/>
          <w:szCs w:val="26"/>
        </w:rPr>
        <w:t xml:space="preserve">第二个问题是中央集权崇拜问题，这对韦尔豪森的观点至关重要。我认为</w:t>
      </w:r>
      <w:r xmlns:w="http://schemas.openxmlformats.org/wordprocessingml/2006/main" w:rsidR="00367727">
        <w:rPr>
          <w:rFonts w:ascii="Times New Roman" w:hAnsi="Times New Roman" w:cs="Times New Roman"/>
          <w:sz w:val="26"/>
          <w:szCs w:val="26"/>
        </w:rPr>
        <w:t xml:space="preserve">哈尔瓦达、汤普森、曼利和其他人</w:t>
      </w:r>
      <w:proofErr xmlns:w="http://schemas.openxmlformats.org/wordprocessingml/2006/main" w:type="spellEnd"/>
      <w:r xmlns:w="http://schemas.openxmlformats.org/wordprocessingml/2006/main" w:rsidR="001568DA" w:rsidRPr="00B9442D">
        <w:rPr>
          <w:rFonts w:ascii="Times New Roman" w:hAnsi="Times New Roman" w:cs="Times New Roman"/>
          <w:sz w:val="26"/>
          <w:szCs w:val="26"/>
        </w:rPr>
        <w:t xml:space="preserve">的立场</w:t>
      </w:r>
      <w:proofErr xmlns:w="http://schemas.openxmlformats.org/wordprocessingml/2006/main" w:type="spellStart"/>
      <w:r xmlns:w="http://schemas.openxmlformats.org/wordprocessingml/2006/main" w:rsidR="00367727">
        <w:rPr>
          <w:rFonts w:ascii="Times New Roman" w:hAnsi="Times New Roman" w:cs="Times New Roman"/>
          <w:sz w:val="26"/>
          <w:szCs w:val="26"/>
        </w:rPr>
        <w:t xml:space="preserve">面对这个问题，并给出了一个替代立场，从与韦尔豪森完全不同的角度来看待这个问题。</w:t>
      </w:r>
      <w:r xmlns:w="http://schemas.openxmlformats.org/wordprocessingml/2006/main" w:rsidR="00F93B9E">
        <w:rPr>
          <w:rFonts w:ascii="Times New Roman" w:hAnsi="Times New Roman" w:cs="Times New Roman"/>
          <w:sz w:val="26"/>
          <w:szCs w:val="26"/>
        </w:rPr>
        <w:br xmlns:w="http://schemas.openxmlformats.org/wordprocessingml/2006/main"/>
      </w:r>
      <w:r xmlns:w="http://schemas.openxmlformats.org/wordprocessingml/2006/main" w:rsidR="00F93B9E">
        <w:rPr>
          <w:rFonts w:ascii="Times New Roman" w:hAnsi="Times New Roman" w:cs="Times New Roman"/>
          <w:sz w:val="26"/>
          <w:szCs w:val="26"/>
        </w:rPr>
        <w:t xml:space="preserve"> </w:t>
      </w:r>
      <w:r xmlns:w="http://schemas.openxmlformats.org/wordprocessingml/2006/main" w:rsidR="00F93B9E">
        <w:rPr>
          <w:rFonts w:ascii="Times New Roman" w:hAnsi="Times New Roman" w:cs="Times New Roman"/>
          <w:sz w:val="26"/>
          <w:szCs w:val="26"/>
        </w:rPr>
        <w:tab xmlns:w="http://schemas.openxmlformats.org/wordprocessingml/2006/main"/>
      </w:r>
      <w:r xmlns:w="http://schemas.openxmlformats.org/wordprocessingml/2006/main" w:rsidR="003B4228" w:rsidRPr="00B9442D">
        <w:rPr>
          <w:rFonts w:ascii="Times New Roman" w:hAnsi="Times New Roman" w:cs="Times New Roman"/>
          <w:sz w:val="26"/>
          <w:szCs w:val="26"/>
        </w:rPr>
        <w:t xml:space="preserve">第三件事，我不能详细讨论，因为它复杂而详细，是所谓的祭坛通过J代码、E代码、申命记代码、圣洁和祭司代码的进展问题。换句话说，是某种历史进程中并行发展和变化的序列。曼利在</w:t>
      </w:r>
      <w:r xmlns:w="http://schemas.openxmlformats.org/wordprocessingml/2006/main" w:rsidR="00367727" w:rsidRPr="00367727">
        <w:rPr>
          <w:rFonts w:ascii="Times New Roman" w:hAnsi="Times New Roman" w:cs="Times New Roman"/>
          <w:i/>
          <w:iCs/>
          <w:sz w:val="26"/>
          <w:szCs w:val="26"/>
        </w:rPr>
        <w:t xml:space="preserve">《律法之书：申命记日期研究》</w:t>
      </w:r>
      <w:r xmlns:w="http://schemas.openxmlformats.org/wordprocessingml/2006/main" w:rsidR="003B4228" w:rsidRPr="00B9442D">
        <w:rPr>
          <w:rFonts w:ascii="Times New Roman" w:hAnsi="Times New Roman" w:cs="Times New Roman"/>
          <w:sz w:val="26"/>
          <w:szCs w:val="26"/>
        </w:rPr>
        <w:t xml:space="preserve">一书中</w:t>
      </w:r>
      <w:r xmlns:w="http://schemas.openxmlformats.org/wordprocessingml/2006/main" w:rsidR="003B4228" w:rsidRPr="00B9442D">
        <w:rPr>
          <w:rFonts w:ascii="Times New Roman" w:hAnsi="Times New Roman" w:cs="Times New Roman"/>
          <w:sz w:val="26"/>
          <w:szCs w:val="26"/>
        </w:rPr>
        <w:t xml:space="preserve">完美地处理了这个问题</w:t>
      </w:r>
      <w:r xmlns:w="http://schemas.openxmlformats.org/wordprocessingml/2006/main" w:rsidR="003B4228" w:rsidRPr="00B9442D">
        <w:rPr>
          <w:rFonts w:ascii="Times New Roman" w:hAnsi="Times New Roman" w:cs="Times New Roman"/>
          <w:sz w:val="26"/>
          <w:szCs w:val="26"/>
        </w:rPr>
        <w:lastRenderedPageBreak xmlns:w="http://schemas.openxmlformats.org/wordprocessingml/2006/main"/>
      </w:r>
      <w:r xmlns:w="http://schemas.openxmlformats.org/wordprocessingml/2006/main" w:rsidR="00BD29C1" w:rsidRPr="00B9442D">
        <w:rPr>
          <w:rFonts w:ascii="Times New Roman" w:hAnsi="Times New Roman" w:cs="Times New Roman"/>
          <w:sz w:val="26"/>
          <w:szCs w:val="26"/>
        </w:rPr>
        <w:t xml:space="preserve">。他指出了JEDP渐进式发展方案和后续代码中存在的诸多问题。这需要详细考虑与申命记中的圣约法典相对照的具体法律以及从中得出的结论。曼利对此的讨论是对韦尔豪森的一个很好的反驳。</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BD29C1" w:rsidRPr="00B9442D">
        <w:rPr>
          <w:rFonts w:ascii="Times New Roman" w:hAnsi="Times New Roman" w:cs="Times New Roman"/>
          <w:sz w:val="26"/>
          <w:szCs w:val="26"/>
        </w:rPr>
        <w:t xml:space="preserve">因此，在结构和完整性、敬拜集中化和法典顺序这三个领域，在过去几年中，从福音派的角度做了大量的工作，我认为这些工作对于反击那些已经存在的立场具有很大的价值。刚刚在申命记研究领域占据主导地位。下节课我们将进行学生关于申命记第 4 章到第 30 章的演讲。</w:t>
      </w:r>
    </w:p>
    <w:p w:rsidR="004C4DE3" w:rsidRPr="00F93B9E" w:rsidRDefault="004C4DE3" w:rsidP="00F93B9E">
      <w:pPr xmlns:w="http://schemas.openxmlformats.org/wordprocessingml/2006/main">
        <w:rPr>
          <w:rFonts w:ascii="Times New Roman" w:hAnsi="Times New Roman" w:cs="Times New Roman"/>
          <w:sz w:val="20"/>
          <w:szCs w:val="20"/>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15728A" w:rsidRPr="00F93B9E">
        <w:rPr>
          <w:rFonts w:ascii="Times New Roman" w:hAnsi="Times New Roman" w:cs="Times New Roman"/>
          <w:sz w:val="20"/>
          <w:szCs w:val="20"/>
        </w:rPr>
        <w:t xml:space="preserve">  </w:t>
      </w:r>
      <w:r xmlns:w="http://schemas.openxmlformats.org/wordprocessingml/2006/main" w:rsidRPr="00F93B9E">
        <w:rPr>
          <w:rFonts w:ascii="Times New Roman" w:hAnsi="Times New Roman" w:cs="Times New Roman"/>
          <w:sz w:val="20"/>
          <w:szCs w:val="20"/>
        </w:rPr>
        <w:tab xmlns:w="http://schemas.openxmlformats.org/wordprocessingml/2006/main"/>
      </w:r>
      <w:r xmlns:w="http://schemas.openxmlformats.org/wordprocessingml/2006/main" w:rsidR="0015728A" w:rsidRPr="00F93B9E">
        <w:rPr>
          <w:rFonts w:ascii="Times New Roman" w:hAnsi="Times New Roman" w:cs="Times New Roman"/>
          <w:sz w:val="20"/>
          <w:szCs w:val="20"/>
        </w:rPr>
        <w:t xml:space="preserve">由</w:t>
      </w:r>
      <w:proofErr xmlns:w="http://schemas.openxmlformats.org/wordprocessingml/2006/main" w:type="spellStart"/>
      <w:r xmlns:w="http://schemas.openxmlformats.org/wordprocessingml/2006/main" w:rsidR="0015728A" w:rsidRPr="00F93B9E">
        <w:rPr>
          <w:rFonts w:ascii="Times New Roman" w:eastAsia="MS Gothic" w:hAnsi="Times New Roman" w:cs="Times New Roman"/>
          <w:sz w:val="20"/>
          <w:szCs w:val="20"/>
        </w:rPr>
        <w:t xml:space="preserve">Connillia </w:t>
      </w:r>
      <w:proofErr xmlns:w="http://schemas.openxmlformats.org/wordprocessingml/2006/main" w:type="spellEnd"/>
      <w:r xmlns:w="http://schemas.openxmlformats.org/wordprocessingml/2006/main" w:rsidR="0015728A" w:rsidRPr="00F93B9E">
        <w:rPr>
          <w:rFonts w:ascii="Times New Roman" w:eastAsia="MS Gothic" w:hAnsi="Times New Roman" w:cs="Times New Roman"/>
          <w:sz w:val="20"/>
          <w:szCs w:val="20"/>
        </w:rPr>
        <w:t xml:space="preserve">Williams 和 Ted Hildebrandt转录</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粗略编辑：Ted Hildebrandt</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最终编辑：Perry Phillips 博士</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佩里·菲利普斯博士重述</w:t>
      </w:r>
    </w:p>
    <w:p w:rsidR="0015728A" w:rsidRPr="00B9442D" w:rsidRDefault="0015728A" w:rsidP="00425BAA">
      <w:pPr>
        <w:spacing w:line="360" w:lineRule="auto"/>
        <w:rPr>
          <w:rFonts w:ascii="Times New Roman" w:hAnsi="Times New Roman" w:cs="Times New Roman"/>
          <w:sz w:val="26"/>
          <w:szCs w:val="26"/>
        </w:rPr>
      </w:pPr>
    </w:p>
    <w:sectPr w:rsidR="0015728A" w:rsidRPr="00B9442D" w:rsidSect="00C27E37">
      <w:headerReference w:type="default" r:id="rId7"/>
      <w:headerReference w:type="first" r:id="rId8"/>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538" w:rsidRDefault="00F15538">
      <w:pPr>
        <w:spacing w:after="0"/>
      </w:pPr>
      <w:r>
        <w:separator/>
      </w:r>
    </w:p>
  </w:endnote>
  <w:endnote w:type="continuationSeparator" w:id="0">
    <w:p w:rsidR="00F15538" w:rsidRDefault="00F15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538" w:rsidRDefault="00F15538">
      <w:pPr>
        <w:spacing w:after="0"/>
      </w:pPr>
      <w:r>
        <w:separator/>
      </w:r>
    </w:p>
  </w:footnote>
  <w:footnote w:type="continuationSeparator" w:id="0">
    <w:p w:rsidR="00F15538" w:rsidRDefault="00F155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041505"/>
      <w:docPartObj>
        <w:docPartGallery w:val="Page Numbers (Top of Page)"/>
        <w:docPartUnique/>
      </w:docPartObj>
    </w:sdtPr>
    <w:sdtEndPr>
      <w:rPr>
        <w:noProof/>
      </w:rPr>
    </w:sdtEndPr>
    <w:sdtContent>
      <w:p w:rsidR="00B9442D" w:rsidRDefault="00B944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A5942">
          <w:rPr>
            <w:noProof/>
          </w:rPr>
          <w:t xml:space="preserve">6</w:t>
        </w:r>
        <w:r xmlns:w="http://schemas.openxmlformats.org/wordprocessingml/2006/main">
          <w:rPr>
            <w:noProof/>
          </w:rPr>
          <w:fldChar xmlns:w="http://schemas.openxmlformats.org/wordprocessingml/2006/main" w:fldCharType="end"/>
        </w:r>
      </w:p>
    </w:sdtContent>
  </w:sdt>
  <w:p w:rsidR="00B9442D" w:rsidRDefault="00B94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WNSectionTitle_3" w:displacedByCustomXml="next"/>
  <w:bookmarkStart w:id="1" w:name="_WNTabType_2" w:displacedByCustomXml="next"/>
  <w:sdt>
    <w:sdtPr>
      <w:id w:val="813451712"/>
      <w:docPartObj>
        <w:docPartGallery w:val="Page Numbers (Top of Page)"/>
        <w:docPartUnique/>
      </w:docPartObj>
    </w:sdtPr>
    <w:sdtEndPr>
      <w:rPr>
        <w:noProof/>
      </w:rPr>
    </w:sdtEndPr>
    <w:sdtContent>
      <w:p w:rsidR="0015728A" w:rsidRDefault="001572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A5942">
          <w:rPr>
            <w:noProof/>
          </w:rPr>
          <w:t xml:space="preserve">1</w:t>
        </w:r>
        <w:r xmlns:w="http://schemas.openxmlformats.org/wordprocessingml/2006/main">
          <w:rPr>
            <w:noProof/>
          </w:rPr>
          <w:fldChar xmlns:w="http://schemas.openxmlformats.org/wordprocessingml/2006/main" w:fldCharType="end"/>
        </w:r>
      </w:p>
    </w:sdtContent>
  </w:sdt>
  <w:p w:rsidR="00120572" w:rsidRDefault="00120572" w:rsidP="0015728A">
    <w:pPr>
      <w:pStyle w:val="Header"/>
      <w:tabs>
        <w:tab w:val="clear" w:pos="4320"/>
        <w:tab w:val="clear" w:pos="8640"/>
        <w:tab w:val="right" w:pos="9720"/>
      </w:tabs>
      <w:ind w:left="-360"/>
      <w:rPr>
        <w:rFonts w:ascii="Verdana" w:eastAsia="MS Gothic" w:hAnsi="Verdana"/>
        <w:sz w:val="36"/>
        <w:szCs w:val="36"/>
      </w:rPr>
    </w:pPr>
  </w:p>
  <w:bookmarkEnd w:id="1"/>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742B5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46C41280"/>
    <w:multiLevelType w:val="hybridMultilevel"/>
    <w:tmpl w:val="D4CAE4CC"/>
    <w:lvl w:ilvl="0" w:tplc="F944706A">
      <w:start w:val="1"/>
      <w:numFmt w:val="bullet"/>
      <w:lvlText w:val=""/>
      <w:lvlJc w:val="left"/>
      <w:pPr>
        <w:tabs>
          <w:tab w:val="num" w:pos="720"/>
        </w:tabs>
        <w:ind w:left="720" w:hanging="360"/>
      </w:pPr>
      <w:rPr>
        <w:rFonts w:ascii="Wingdings" w:hAnsi="Wingdings" w:hint="default"/>
      </w:rPr>
    </w:lvl>
    <w:lvl w:ilvl="1" w:tplc="23E438AC" w:tentative="1">
      <w:start w:val="1"/>
      <w:numFmt w:val="bullet"/>
      <w:lvlText w:val=""/>
      <w:lvlJc w:val="left"/>
      <w:pPr>
        <w:tabs>
          <w:tab w:val="num" w:pos="1440"/>
        </w:tabs>
        <w:ind w:left="1440" w:hanging="360"/>
      </w:pPr>
      <w:rPr>
        <w:rFonts w:ascii="Wingdings" w:hAnsi="Wingdings" w:hint="default"/>
      </w:rPr>
    </w:lvl>
    <w:lvl w:ilvl="2" w:tplc="82625DF0" w:tentative="1">
      <w:start w:val="1"/>
      <w:numFmt w:val="bullet"/>
      <w:lvlText w:val=""/>
      <w:lvlJc w:val="left"/>
      <w:pPr>
        <w:tabs>
          <w:tab w:val="num" w:pos="2160"/>
        </w:tabs>
        <w:ind w:left="2160" w:hanging="360"/>
      </w:pPr>
      <w:rPr>
        <w:rFonts w:ascii="Wingdings" w:hAnsi="Wingdings" w:hint="default"/>
      </w:rPr>
    </w:lvl>
    <w:lvl w:ilvl="3" w:tplc="172653C8" w:tentative="1">
      <w:start w:val="1"/>
      <w:numFmt w:val="bullet"/>
      <w:lvlText w:val=""/>
      <w:lvlJc w:val="left"/>
      <w:pPr>
        <w:tabs>
          <w:tab w:val="num" w:pos="2880"/>
        </w:tabs>
        <w:ind w:left="2880" w:hanging="360"/>
      </w:pPr>
      <w:rPr>
        <w:rFonts w:ascii="Wingdings" w:hAnsi="Wingdings" w:hint="default"/>
      </w:rPr>
    </w:lvl>
    <w:lvl w:ilvl="4" w:tplc="780A9F90" w:tentative="1">
      <w:start w:val="1"/>
      <w:numFmt w:val="bullet"/>
      <w:lvlText w:val=""/>
      <w:lvlJc w:val="left"/>
      <w:pPr>
        <w:tabs>
          <w:tab w:val="num" w:pos="3600"/>
        </w:tabs>
        <w:ind w:left="3600" w:hanging="360"/>
      </w:pPr>
      <w:rPr>
        <w:rFonts w:ascii="Wingdings" w:hAnsi="Wingdings" w:hint="default"/>
      </w:rPr>
    </w:lvl>
    <w:lvl w:ilvl="5" w:tplc="0882DDE4" w:tentative="1">
      <w:start w:val="1"/>
      <w:numFmt w:val="bullet"/>
      <w:lvlText w:val=""/>
      <w:lvlJc w:val="left"/>
      <w:pPr>
        <w:tabs>
          <w:tab w:val="num" w:pos="4320"/>
        </w:tabs>
        <w:ind w:left="4320" w:hanging="360"/>
      </w:pPr>
      <w:rPr>
        <w:rFonts w:ascii="Wingdings" w:hAnsi="Wingdings" w:hint="default"/>
      </w:rPr>
    </w:lvl>
    <w:lvl w:ilvl="6" w:tplc="1FF09684" w:tentative="1">
      <w:start w:val="1"/>
      <w:numFmt w:val="bullet"/>
      <w:lvlText w:val=""/>
      <w:lvlJc w:val="left"/>
      <w:pPr>
        <w:tabs>
          <w:tab w:val="num" w:pos="5040"/>
        </w:tabs>
        <w:ind w:left="5040" w:hanging="360"/>
      </w:pPr>
      <w:rPr>
        <w:rFonts w:ascii="Wingdings" w:hAnsi="Wingdings" w:hint="default"/>
      </w:rPr>
    </w:lvl>
    <w:lvl w:ilvl="7" w:tplc="A99E8550" w:tentative="1">
      <w:start w:val="1"/>
      <w:numFmt w:val="bullet"/>
      <w:lvlText w:val=""/>
      <w:lvlJc w:val="left"/>
      <w:pPr>
        <w:tabs>
          <w:tab w:val="num" w:pos="5760"/>
        </w:tabs>
        <w:ind w:left="5760" w:hanging="360"/>
      </w:pPr>
      <w:rPr>
        <w:rFonts w:ascii="Wingdings" w:hAnsi="Wingdings" w:hint="default"/>
      </w:rPr>
    </w:lvl>
    <w:lvl w:ilvl="8" w:tplc="ECE23880" w:tentative="1">
      <w:start w:val="1"/>
      <w:numFmt w:val="bullet"/>
      <w:lvlText w:val=""/>
      <w:lvlJc w:val="left"/>
      <w:pPr>
        <w:tabs>
          <w:tab w:val="num" w:pos="6480"/>
        </w:tabs>
        <w:ind w:left="6480" w:hanging="360"/>
      </w:pPr>
      <w:rPr>
        <w:rFonts w:ascii="Wingdings" w:hAnsi="Wingdings" w:hint="default"/>
      </w:rPr>
    </w:lvl>
  </w:abstractNum>
  <w:num w:numId="1" w16cid:durableId="719329049">
    <w:abstractNumId w:val="0"/>
  </w:num>
  <w:num w:numId="2" w16cid:durableId="409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oNotUseMarginsForDrawingGridOrigin/>
  <w:drawingGridVerticalOrigin w:val="0"/>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WNTabType_0" w:val="0"/>
    <w:docVar w:name="_WNTabType_1" w:val="1"/>
    <w:docVar w:name="_WNTabType_2" w:val="2"/>
    <w:docVar w:name="EnableWordNotes" w:val="0"/>
  </w:docVars>
  <w:rsids>
    <w:rsidRoot w:val="00C27E37"/>
    <w:rsid w:val="00004476"/>
    <w:rsid w:val="00120572"/>
    <w:rsid w:val="0013083D"/>
    <w:rsid w:val="001463F4"/>
    <w:rsid w:val="001568DA"/>
    <w:rsid w:val="0015728A"/>
    <w:rsid w:val="001612DD"/>
    <w:rsid w:val="0016384C"/>
    <w:rsid w:val="00197D83"/>
    <w:rsid w:val="001A0503"/>
    <w:rsid w:val="001A34C8"/>
    <w:rsid w:val="001C1A0B"/>
    <w:rsid w:val="001C6A68"/>
    <w:rsid w:val="001F05F9"/>
    <w:rsid w:val="001F1B64"/>
    <w:rsid w:val="00214374"/>
    <w:rsid w:val="00260005"/>
    <w:rsid w:val="002B0447"/>
    <w:rsid w:val="002B62A4"/>
    <w:rsid w:val="002C400B"/>
    <w:rsid w:val="00367727"/>
    <w:rsid w:val="00370225"/>
    <w:rsid w:val="00394145"/>
    <w:rsid w:val="003A2A15"/>
    <w:rsid w:val="003B4228"/>
    <w:rsid w:val="003B75D1"/>
    <w:rsid w:val="00425BAA"/>
    <w:rsid w:val="004756C6"/>
    <w:rsid w:val="00484691"/>
    <w:rsid w:val="00496E3D"/>
    <w:rsid w:val="004C4DE3"/>
    <w:rsid w:val="00540A8D"/>
    <w:rsid w:val="00567389"/>
    <w:rsid w:val="005A10C5"/>
    <w:rsid w:val="005A7F00"/>
    <w:rsid w:val="005D1E2C"/>
    <w:rsid w:val="0062689C"/>
    <w:rsid w:val="00662564"/>
    <w:rsid w:val="006C25FA"/>
    <w:rsid w:val="00701591"/>
    <w:rsid w:val="00716ACB"/>
    <w:rsid w:val="00764D12"/>
    <w:rsid w:val="00774974"/>
    <w:rsid w:val="007A5942"/>
    <w:rsid w:val="007A6DBB"/>
    <w:rsid w:val="007C6190"/>
    <w:rsid w:val="0086175F"/>
    <w:rsid w:val="00867C19"/>
    <w:rsid w:val="00885E18"/>
    <w:rsid w:val="008A2B5B"/>
    <w:rsid w:val="008F3B0B"/>
    <w:rsid w:val="00910F79"/>
    <w:rsid w:val="009A70F4"/>
    <w:rsid w:val="009C18CA"/>
    <w:rsid w:val="009E7809"/>
    <w:rsid w:val="00A33036"/>
    <w:rsid w:val="00A54A2E"/>
    <w:rsid w:val="00A771A5"/>
    <w:rsid w:val="00A84796"/>
    <w:rsid w:val="00B9442D"/>
    <w:rsid w:val="00BA2509"/>
    <w:rsid w:val="00BD29C1"/>
    <w:rsid w:val="00C177EF"/>
    <w:rsid w:val="00C27E37"/>
    <w:rsid w:val="00C36CDF"/>
    <w:rsid w:val="00C53A5B"/>
    <w:rsid w:val="00C63A79"/>
    <w:rsid w:val="00CB5671"/>
    <w:rsid w:val="00CD30D2"/>
    <w:rsid w:val="00CF0F0A"/>
    <w:rsid w:val="00DE4513"/>
    <w:rsid w:val="00DE7751"/>
    <w:rsid w:val="00E5383D"/>
    <w:rsid w:val="00E571E5"/>
    <w:rsid w:val="00E61660"/>
    <w:rsid w:val="00E87BBC"/>
    <w:rsid w:val="00EA567E"/>
    <w:rsid w:val="00EA5973"/>
    <w:rsid w:val="00EB359B"/>
    <w:rsid w:val="00F15538"/>
    <w:rsid w:val="00F35842"/>
    <w:rsid w:val="00F638B5"/>
    <w:rsid w:val="00F64B63"/>
    <w:rsid w:val="00F70D96"/>
    <w:rsid w:val="00F93B9E"/>
    <w:rsid w:val="00FC6D69"/>
    <w:rsid w:val="00FD05B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7C66"/>
  <w15:docId w15:val="{B4F865E3-7111-46A1-834B-67FA0AD0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C27E37"/>
    <w:pPr>
      <w:keepNext/>
      <w:numPr>
        <w:numId w:val="1"/>
      </w:numPr>
      <w:spacing w:after="0"/>
      <w:contextualSpacing/>
      <w:outlineLvl w:val="0"/>
    </w:pPr>
    <w:rPr>
      <w:rFonts w:ascii="Verdana" w:eastAsia="MS Gothic" w:hAnsi="Verdana"/>
    </w:rPr>
  </w:style>
  <w:style w:type="paragraph" w:customStyle="1" w:styleId="NoteLevel2">
    <w:name w:val="Note Level 2"/>
    <w:basedOn w:val="Normal"/>
    <w:uiPriority w:val="99"/>
    <w:semiHidden/>
    <w:unhideWhenUsed/>
    <w:rsid w:val="00C27E37"/>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uiPriority w:val="99"/>
    <w:semiHidden/>
    <w:unhideWhenUsed/>
    <w:rsid w:val="00C27E37"/>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uiPriority w:val="99"/>
    <w:semiHidden/>
    <w:unhideWhenUsed/>
    <w:rsid w:val="00C27E37"/>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uiPriority w:val="99"/>
    <w:semiHidden/>
    <w:unhideWhenUsed/>
    <w:rsid w:val="00C27E37"/>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uiPriority w:val="99"/>
    <w:semiHidden/>
    <w:unhideWhenUsed/>
    <w:rsid w:val="00C27E37"/>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uiPriority w:val="99"/>
    <w:semiHidden/>
    <w:unhideWhenUsed/>
    <w:rsid w:val="00C27E37"/>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uiPriority w:val="99"/>
    <w:semiHidden/>
    <w:unhideWhenUsed/>
    <w:rsid w:val="00C27E37"/>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uiPriority w:val="99"/>
    <w:semiHidden/>
    <w:unhideWhenUsed/>
    <w:rsid w:val="00C27E37"/>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unhideWhenUsed/>
    <w:rsid w:val="00C27E37"/>
    <w:pPr>
      <w:tabs>
        <w:tab w:val="center" w:pos="4320"/>
        <w:tab w:val="right" w:pos="8640"/>
      </w:tabs>
      <w:spacing w:after="0"/>
    </w:pPr>
  </w:style>
  <w:style w:type="character" w:customStyle="1" w:styleId="HeaderChar">
    <w:name w:val="Header Char"/>
    <w:basedOn w:val="DefaultParagraphFont"/>
    <w:link w:val="Header"/>
    <w:uiPriority w:val="99"/>
    <w:rsid w:val="00C27E37"/>
  </w:style>
  <w:style w:type="paragraph" w:styleId="Footer">
    <w:name w:val="footer"/>
    <w:basedOn w:val="Normal"/>
    <w:link w:val="FooterChar"/>
    <w:uiPriority w:val="99"/>
    <w:unhideWhenUsed/>
    <w:rsid w:val="00B9442D"/>
    <w:pPr>
      <w:tabs>
        <w:tab w:val="center" w:pos="4680"/>
        <w:tab w:val="right" w:pos="9360"/>
      </w:tabs>
      <w:spacing w:after="0"/>
    </w:pPr>
  </w:style>
  <w:style w:type="character" w:customStyle="1" w:styleId="FooterChar">
    <w:name w:val="Footer Char"/>
    <w:basedOn w:val="DefaultParagraphFont"/>
    <w:link w:val="Footer"/>
    <w:uiPriority w:val="99"/>
    <w:rsid w:val="00B9442D"/>
  </w:style>
  <w:style w:type="paragraph" w:styleId="NoSpacing">
    <w:name w:val="No Spacing"/>
    <w:basedOn w:val="Normal"/>
    <w:uiPriority w:val="1"/>
    <w:qFormat/>
    <w:rsid w:val="0015728A"/>
    <w:pPr>
      <w:spacing w:after="0"/>
    </w:pPr>
    <w:rPr>
      <w:rFonts w:eastAsiaTheme="minorEastAsia"/>
      <w:sz w:val="22"/>
      <w:szCs w:val="22"/>
      <w:lang w:bidi="he-IL" w:val="zh-CN" w:eastAsia="zh-CN"/>
    </w:rPr>
  </w:style>
  <w:style w:type="paragraph" w:styleId="BalloonText">
    <w:name w:val="Balloon Text"/>
    <w:basedOn w:val="Normal"/>
    <w:link w:val="BalloonTextChar"/>
    <w:uiPriority w:val="99"/>
    <w:semiHidden/>
    <w:unhideWhenUsed/>
    <w:rsid w:val="001638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01121">
      <w:bodyDiv w:val="1"/>
      <w:marLeft w:val="0"/>
      <w:marRight w:val="0"/>
      <w:marTop w:val="0"/>
      <w:marBottom w:val="0"/>
      <w:divBdr>
        <w:top w:val="none" w:sz="0" w:space="0" w:color="auto"/>
        <w:left w:val="none" w:sz="0" w:space="0" w:color="auto"/>
        <w:bottom w:val="none" w:sz="0" w:space="0" w:color="auto"/>
        <w:right w:val="none" w:sz="0" w:space="0" w:color="auto"/>
      </w:divBdr>
      <w:divsChild>
        <w:div w:id="1104114236">
          <w:marLeft w:val="547"/>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Connillia Williams</dc:creator>
  <cp:lastModifiedBy>Ted Hildebrandt</cp:lastModifiedBy>
  <cp:revision>4</cp:revision>
  <cp:lastPrinted>2011-11-27T13:22:00Z</cp:lastPrinted>
  <dcterms:created xsi:type="dcterms:W3CDTF">2011-12-14T12:00:00Z</dcterms:created>
  <dcterms:modified xsi:type="dcterms:W3CDTF">2023-03-22T11:43:00Z</dcterms:modified>
</cp:coreProperties>
</file>