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Dr Tiberius Rata, Ezra-Néhémie,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Session 9, Néhémie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Tiberius Rata et Ted Hildebrandt</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Il s'agit du Dr Tiberius Rata et de son enseignement sur Esdras et Néhémie. Il s'agit de la séance 9, Néhémie 7-8.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C'est ouvert à Néhémie 7. Les cinq premiers versets nous montrent à nouveau Néhémie déléguant le travail.</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À partir du verset un,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Lorsque la muraille fut bâtie, que j'eus placé les portes, et que les portiers, les chanteurs et les Lévites furent nommés,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J'ai confié à mon frère Hanani et Hanania le gouverneur du château de Jérusalem, car c'était un homme plus fidèle et plus craignant Dieu que beaucoup d'autres.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Et je leur dis : « Que les portes de Jérusalem ne soient pas ouvertes avant que le soleil ne soit brûlant. Et pendant qu’ils monteront la garde, qu’ils ferment et barrent les portes. Établissez des gardes parmi les habitants de Jérusalem, les uns à leurs postes de garde et les autres devant leurs maisons.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La ville était vaste et vaste, mais les habitants étaient peu nombreux et aucune maison n'avait été reconstruite.</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Alors mon Dieu m'a mis dans le cœur de rassembler les nobles, les fonctionnaires et le peuple pour les inscrire par généalogie. Et j'ai trouvé le livre de la généalogie de ceux qui sont venus les premiers, et j'y ai trouvé écrit :</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Le mur est donc terminé.</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Maintenant, Néhémie doit nommer des gardiens. Ce sont les anciens gardes de sécurité. Les chanteurs et les Lévites ont probablement contribué à ce rôle, même si garder les portes n’était pas leur responsabilité première.</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Nous pouvons donc y réfléchir. Il s’agit uniquement de mesures d’urgence. Ce n’était pas la véritable responsabilité quotidienne qui perdurera.</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Mais en tant que bon leader, Néhémie savait qu’il ne pouvait pas et ne devait pas faire le travail seul. Par conséquent, il délègue une partie du travail à Hanani et Hananiah. Rappelez-vous, Hanani est le frère de Néhémie, un soi-disant frère, qui l'a informé pour la première fois de l'état tragique de Jérusalem dans Néhémie chapitre 1 verset 2. Maintenant, deux fois il est appelé mon frère, ce qui amène certains érudits à croire qu'il était en fait son frère physique, un frère de sang.</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Nous ne le savons pas. Il se pourrait qu’il ne soit qu’un compatriote. Mais Hanania était gouverneur du château, il était donc plus qualifié pour superviser la garde de la ville.</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Il s'agit là encore d'un rôle très important d'un leader : comprendre les personnes avec lesquelles il travaille et leur déléguer du travail. Mais ses cinq premiers versets nous disent aussi que Jérusalem n’était pas encore entièrement repeuplée et que les maisons n’avaient pas été reconstruites. Je veux dire, pense au moment où les gens reviendront.</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Nous verrons cela à la fin du livre. Où vivent les gens ? Veulent-ils vivre dans la ville de Jérusalem ou veulent-ils vivre à la campagne ? Nous verrons que la plupart des gens voudront vivre à la campagne, où ils pourront planter des arbres et cultiver et vivre de la terre. Peu de gens se précipitaient pour vivre au centre de Jérusalem.</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il y a un problème sur la façon dont vous allez repeupler Jérusalem. Et nous verrons à la fin du livre comment ils vont procéder. Et suite à cette délégation, vous avez la généalogie que trouve Néhémie.</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ce que nous avons ici au chapitre sept, du verset six à la fin, est une liste des personnes qui sont revenues. Cette liste est presque identique à la liste du chapitre deux d’Esdras. Il existe quelques divergences insignifiantes.</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dans mon commentaire, j’ai une liste de ces divergences. Et vous pouvez voir la liste des deux listes côte à côte avec les modifications. Alors rappelez-vous, il y a eu trois vagues de déportation. Il y a eu trois vagues de reconstruction et de renouveau.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La nation sera désormais prête pour la restauration spirituelle qui était nécessaire. Les deux livres d’Esdras et de Néhémie contiennent la restauration physique et la restauration spirituelle.</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si jusqu’à présent nous avons assisté à une sorte de restauration physique de la ville, à partir du chapitre huit, nous passons en réalité à la restauration spirituelle. Mais avant de poursuivre, je voudrais souligner ici une découverte archéologique très importante datant de l’époque de Néhémie. Ceci mentionne Temah, qui est mentionné au chapitre sept, verset 55 dans la liste des rapatriés.</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en réalité, ce que vous avez ici, ce sont deux hommes avec les mains en adoration devant un autel et ensuite le nom de Temah en bas. Ce qui est intéressant ici, c'est encore une fois que vous avez la preuve de ce sceau avec le nom d'une personne de la liste des rapatriés de l'époque de Néhémie. Encore une fois, beaucoup de ces sceaux ont été trouvés à Jérusalem, et cela remonte à l’époque de Néhémie.</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C'est donc une découverte très intéressante. Nous passons donc maintenant au chapitre huit, où nous verrons le début de la restauration spirituelle du peuple. Et cette restauration commence et se termine par la parole de Dieu.</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Que s’est-il passé pendant la période d’exil ? Ils étaient partis dans différentes parties. Ils n’avaient pas le temple où retourner. Certains érudits suggèrent que c'est à cette époque que la synagogue est née, et que des synagogues surgissent partout dans le monde lorsque les Juifs ne peuvent pas aller au temple.</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Ainsi, des synagogues sont construites partout dans le monde. Mais cette restauration commence par la lecture de la parole. Certains, encore une fois, n’étaient pas tous dotés de leur propre Bible, de leurs propres parchemins.</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Alors maintenant, ils sont confrontés à la parole de Dieu. Chapitre huit, commençant au verset un,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Et tout le peuple se rassembla comme un seul homme sur la place devant la Porte des Eaux. Et ils dirent à Esdras, le scribe, d'apporter le livre de la loi de Moïse que l'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Éternel </w:t>
      </w:r>
      <w:r xmlns:w="http://schemas.openxmlformats.org/wordprocessingml/2006/main" w:rsidR="00320122" w:rsidRPr="00320122">
        <w:rPr>
          <w:rFonts w:asciiTheme="minorHAnsi" w:hAnsiTheme="minorHAnsi" w:cstheme="minorHAnsi"/>
          <w:sz w:val="26"/>
          <w:szCs w:val="26"/>
          <w:shd w:val="clear" w:color="auto" w:fill="FFFFFF"/>
        </w:rPr>
        <w:t xml:space="preserve">avait commandé à Israël.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Le prêtre Esdras présenta donc la loi devant l'assemblée, hommes et femmes, et tous ceux qui pouvaient comprendre ce qu'ils avaient entendu, le premier jour du septième mois.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Et il lisait, face à la place devant la Porte des Eaux, depuis le petit matin jusqu'à midi, en présence des hommes, des femmes et de ceux qui pouvaient comprendre. Et les oreilles de tout le peuple étaient attentives au Livre de la Loi.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Et Esdras, le scribe, se tenait sur une estrade en bois qu'ils avaient construite à cet effet. Et à côté de lui se tenaient Matthithiah, Shema, Anaja, Urie, Hilkija et Maaseiah à sa droite, et Pedaiah, Mishael, Malkija, Hashum, Hashbaddanah, Zacharie et Meshullam à sa gauche.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Et Esdras ouvrit le livre à la vue de tout le peuple, car il était au-dessus de tout le peuple, et tandis qu'il l'ouvrait, tout le peuple se leva.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Et Esdras bénit l'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Éternel </w:t>
      </w:r>
      <w:r xmlns:w="http://schemas.openxmlformats.org/wordprocessingml/2006/main" w:rsidR="00320122" w:rsidRPr="00320122">
        <w:rPr>
          <w:rFonts w:asciiTheme="minorHAnsi" w:hAnsiTheme="minorHAnsi" w:cstheme="minorHAnsi"/>
          <w:sz w:val="26"/>
          <w:szCs w:val="26"/>
          <w:shd w:val="clear" w:color="auto" w:fill="FFFFFF"/>
        </w:rPr>
        <w:t xml:space="preserve">, le grand Dieu, et tout le peuple répondit : « Amen, Amen », levant les mains. Et ils inclinèrent la tête et adorèrent l'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Éternel, </w:t>
      </w:r>
      <w:r xmlns:w="http://schemas.openxmlformats.org/wordprocessingml/2006/main" w:rsidR="00320122" w:rsidRPr="00320122">
        <w:rPr>
          <w:rFonts w:asciiTheme="minorHAnsi" w:hAnsiTheme="minorHAnsi" w:cstheme="minorHAnsi"/>
          <w:sz w:val="26"/>
          <w:szCs w:val="26"/>
          <w:shd w:val="clear" w:color="auto" w:fill="FFFFFF"/>
        </w:rPr>
        <w:t xml:space="preserve">le visage contre terre.</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Nous avons donc ici une assemblée de personnes confrontées à la parole de Dieu. Et nous voyons ici qu’ils le lisent et qu’ils le lisent pendant une bonne période. Et il semble y avoir une soif de la parole de Dieu.</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encore, quelle parole de Dieu ? Encore une fois, c'est la loi de Moïse. Encore une fois, s’agit-il uniquement du livre du Deutéronome ? Est-ce les cinq premiers livres ? Nous ne le savons pas. Mais encore une fois, le livre de la loi existe à cette époque.</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c'est ce qu'il est, ce qu'Ezra lit. Si vous remarquez, ils pratiquent quelque chose que certaines cultures pratiquent encore aujourd'hui. Quand ils lisent la parole de Dieu, ils se lèvent.</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Si vous allez dans de nombreux pays aujourd’hui, ils pratiquent encore cela. Et nous nous sommes éloignés de cette pratique dans les églises américaines. Mais la bénédiction d'Esdras concluait la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lecture de la parole et était suivie par la réponse du peuple, marquée par trois caractéristiques importantes.</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Leur réponse a été vocale, humble et vouée à l’adoration. Ils ont répondu en disant : Amen. Vous pouviez le voir ; ils levèrent la main, puis, dans leur culte, ils se prosternèrent jusqu'au sol.</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En fait, le mot hébreu pour adorer signifie littéralement se prosterner devant quelqu’un. Il n’y a pas d’autre sens à ce mot. Ainsi, à l’époque de l’Ancien Testament, lorsque vous adoriez, vous deviez vous prosterner devant celui que vous adoriez.</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Mais que faites-vous lorsque vous lisez le mot et que vous avez des gens qui l'entendent mais qui ne savent pas vraiment ce qui se passe. Encore une fois, cela faisait longtemps qu'ils n'avaient pas entendu la parole de Dieu. Eh bien, la Bible dit que les fidèles doivent expliquer la parole de Dieu.</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Ils ne se contentent pas de lire la parole, ils expliquent aussi la parole de Dieu. Et vous aviez ces gens mentionnés au verset huit, dit la Bible, qui aidaient les gens à comprendre la loi, tandis que les gens restaient à leur place. Ils lisaient clairement le livre, la loi de Dieu, et ils donnaient le sens pour que les gens comprennent la lecture.</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Un certain nombre de 13 Lévites sont donnés ici. Leurs noms sont donnés et ils aident les gens à comprendre ce qui est lu. En effet, Moïse, avant sa mort, a béni les Lévites.</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Deutéronome 33 : 10 dit que les Lévites enseigneront à Jacob vos règles et à Israël votre loi. C’était donc la tâche que Dieu leur avait confiée, même dans le Deutéronome. Si vous lisez dans la Deuxième Chronique, à l'époque de Josaphat, certains Lévites devinrent des enseignants itinérants et parcourèrent toutes les villes de Juda et enseignèrent parmi le peuple.</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Deuxième Chroniques 17 : 7-9. Cela parle donc de l'importance du ministère d'enseignement de la parole de Dieu, non seulement dans une grande assemblée, mais aussi dans de petits groupes. Tous deux sont importants, nécessaires et vitaux à la vie de la communauté des fidèles. Ainsi, les fidèles lisaient la parole, les fidèles expliquaient la parole, et puis les fidèles se réjouissaient de la parole.</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À partir du verset 9.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Et Néhémie, qui était le gouverneur, et Esdras, le prêtre et scribe, et les Lévites qui enseignaient le peuple, dirent à tout le peuple : « Ce jour est saint pour l'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Éternel, </w:t>
      </w:r>
      <w:r xmlns:w="http://schemas.openxmlformats.org/wordprocessingml/2006/main" w:rsidR="007A13E4" w:rsidRPr="007A13E4">
        <w:rPr>
          <w:rFonts w:asciiTheme="minorHAnsi" w:hAnsiTheme="minorHAnsi" w:cstheme="minorHAnsi"/>
          <w:sz w:val="26"/>
          <w:szCs w:val="26"/>
          <w:shd w:val="clear" w:color="auto" w:fill="FFFFFF"/>
        </w:rPr>
        <w:t xml:space="preserve">votre Dieu ; ne pleurez pas et ne pleurez pas.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À propos, pour la première fois, nous voyons Esdras et Néhémie ensemble.</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Ce sont des contemporains, et les voici ensemble au culte.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Ne vous lamentez pas et ne pleurez pas, car tout le peuple a pleuré en entendant les paroles de la loi. Puis il dit : Va, mange de la graisse et bois du vin doux, et envoie des portions à quiconque n'a rien de prêt.</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Car ce jour est saint pour le Seigneur, et ne vous attristez pas, car la joie du Seigneur est votre force. Les Lévites calmèrent donc tous ceux qui disaient : Tais-toi, car ce jour est saint. Ne soyez pas attristé.</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tout le peuple s'en alla pour manger et boire, et pour envoyer des portions, et pour se réjouir beaucoup, parce qu'ils avaient compris les paroles qui leur avaient été annoncées.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Pour certaines personnes, les paroles de la loi ont donné naissance à une nouvelle vie. Pour certains, cela leur a rappelé leur passé.</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Quoi qu’il se soit passé ici, le mot est profondément gravé comme une épée. Il se pourrait que ces larmes soient des larmes de repentance. Nous ne le savons pas.</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Cela dit simplement qu'ils ont pleuré. Il se pourrait qu’il s’agisse de larmes de repentance, comme le dit 2 Corinthiens 7 : 10. Mais leurs larmes n’étaient certainement pas des larmes de joie, car Esdras et Néhémie devaient dire au peuple : Ne soyez pas attristés.</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Esdras et Néhémie n’essayaient pas de faire obstacle à leur repentir, mais le chagrin doit être suivi de joie. Il y a un temps pour pleurer, mais il y a aussi un temps pour se réjouir. Et c’est ce qu’ils essaient de souligner ici.</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C'est la joie du Seigneur qui est votre force. La joie du Seigneur, et non son chagrin, est la force du peuple. Un érudit affirme, et je cite : C'est la joie de Yahweh envers son peuple qui est la base de l'espoir qu'il sera sauvé ou protégé de sa colère.</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La joie de Yahvé est la base de leur protection contre les conséquences de leur négligence de la loi. Alors, que font-ils quand ils se réjouissent ? Eh bien, ils mangent et boivent. Et manger et boire sont l’expression extérieure de l’état intérieur.</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encore une fois, ils disent que cela est saint pour le Seigneur. Saint pour le Seigneur était en fait une désignation pour le sabbat dans Exode 31 et 35. Maintenant, Esdras et Néhémie déclarent que ce jour est saint pour le Seigneur parce que le peuple a agi conformément à la loi de Dieu.</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J'aime la façon dont Warren Wiersbe résume ce qui se passe dans ces vers. Il dit : Il y a la conviction, il y a la purification et il y a la célébration. Les gens sont convaincus de leur péché, ils sont purifiés de leur péché, mais ensuite ils célèbrent la parole de Dieu.</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Et non seulement ils se réjouissent de la parole, mais les fidèles suivent et obéissent à la parole. À partir du verset 13,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Le deuxième jour, les chefs de famille de tout le peuple, avec les prêtres et les Lévites, se réunirent auprès d'Esdras, le scribe, pour étudier les paroles de la Loi.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Et ils trouvèrent écrit dans la loi que l'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Éternel </w:t>
      </w:r>
      <w:r xmlns:w="http://schemas.openxmlformats.org/wordprocessingml/2006/main" w:rsidR="007A13E4" w:rsidRPr="007A13E4">
        <w:rPr>
          <w:rFonts w:asciiTheme="minorHAnsi" w:hAnsiTheme="minorHAnsi" w:cstheme="minorHAnsi"/>
          <w:sz w:val="26"/>
          <w:szCs w:val="26"/>
          <w:shd w:val="clear" w:color="auto" w:fill="FFFFFF"/>
        </w:rPr>
        <w:t xml:space="preserve">avait ordonné par Moïse que les enfants d'Israël habitent dans des tentes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pendant </w:t>
        </w:r>
      </w:hyperlink>
      <w:r xmlns:w="http://schemas.openxmlformats.org/wordprocessingml/2006/main" w:rsidR="007A13E4" w:rsidRPr="007A13E4">
        <w:rPr>
          <w:rFonts w:asciiTheme="minorHAnsi" w:hAnsiTheme="minorHAnsi" w:cstheme="minorHAnsi"/>
          <w:sz w:val="26"/>
          <w:szCs w:val="26"/>
          <w:shd w:val="clear" w:color="auto" w:fill="FFFFFF"/>
        </w:rPr>
        <w:t xml:space="preserve">la fête du septième mois, </w:t>
      </w:r>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et qu'ils le proclament et le publient dans toutes leurs villes et à Jérusalem : « Sortez dans les collines et apportez des branches d'olivier, d'olivier sauvage, de myrte, de palmier et d'autres arbres feuillus pour faire des cabanes, comme il est écrit. »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Alors le peuple sortit, les amena et se fit des tentes, chacun sur son toit, et dans leurs parvis et dans les parvis de la maison de Dieu, et sur la place de la Porte des Eaux et sur la place de la porte d'Éphraïm.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Et toute l'assemblée de ceux qui étaient revenus de captivité fit des tentes et habita dans des tentes, car depuis les jours de Josué, fils de Noun, jusqu'à ce jour, les enfants d'Israël n'avaient pas fait ainsi. Et il y eut une très grande réjouissance.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Et jour après jour, du premier au dernier jour, il lisait le Livre de la Loi de Dieu. Ils célébrèrent la fête pendant sept jours, et le huitième jour il y eut une assemblée solennelle, selon la règle.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Tout commence donc par une étude biblique approfondie. Les prêtres, les Lévites et les chefs de famille viennent en Israël et disent : hé, nous voulons continuer à étudier cette parole de Dieu.</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en lisant, ils découvrent cette législation sur la fête des stands. Rappelez-vous que cela a commencé en Tishri 15. Rappelez-vous que c'était la principale fête d'action de grâce, montrant la gratitude pour la provision de Dieu lors de l'événement de l'exode d'Égypte.</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Vous avez cela dans Exode 34. Nous l'avons dans Lévitique 23. Et cette fête d'automne clôturait l'année agricole et commémorait les Israélites errant dans le désert.</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Pourquoi? Parce qu'ils vivaient sous des tentes. Et maintenant, ils célébraient cela. Et en fait, si vous allez en Israël aujourd’hui, certains Juifs, Juifs orthodoxes, célèbrent encore cela.</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ils construisent des stands et célèbrent la provision de Dieu. C'est à Souccot que les Israélites sont venus pour la première fois après avoir quitté Ramsès dans le chapitre 12 de l'Exode. La fête des tentes était également observée pendant la période monarchique, 2 Chroniques 8. Elle a également été observée dans la période post-exilique.</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Nous voyons cela dans Esdras 3, Zacharie 14. Et même pendant la période de l’Église primitive, c’est la seule fête au cours de laquelle il était ordonné aux Israélites de se réjouir devant le Seigneur. Encore une fois, le thème de la joie ici, c'est le chagrin à cause de votre péché, mais ensuite vous vous réjouissez dans le Seigneur.</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Les rapatriés étaient désireux d'obéir à la parole de Dieu, qui apparemment a été ignorée. Beaucoup d’entre eux ne le savaient pas. Ils ignoraient le mot.</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Maintenant, ils l'entendent. Et la parole de Dieu est certes comme une épée qui coupe, mais elle est vivante et active dans leur vie. Et le résultat de l’obéissance était encore plus réjouissant.</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J'aime la perspicacité de Warren Wiersbe, et je cite : Dieu ne nous donne pas la joie au lieu du chagrin, ni la joie malgré le chagrin, mais la joie au milieu du chagrin. Il ne s'agit pas d'une substitution, mais d'une transformation. Les gens ont observé la loi, et grâce à la loi, les gens ont célébré la fête.</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Et le livre de la loi, là encore, a joué un rôle central. Les Israélites étaient censés être les gens du livre. Et nous sommes pareils.</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Nous sommes des gens du livre. Nous devons aimer le livre, la parole de Dieu, et nous devons aimer le Dieu de la parole. Et nous sommes reconnaissants pour sa parole, et nous devons la lire puis y obéir, tout comme je l’ai fait.</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Et la réponse, le résultat final fut l’obéissance à la parole et la joie dans la parole. N'oubliez pas que la joie du Seigneur est votre force. Toi</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Il s'agit du Dr Tiberius Rata et de son enseignement sur Esdras et Néhémie. Il s'agit de la séance 9, Néhémie 7-8.</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