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5847" w14:textId="3AD8956A" w:rsidR="00E83349" w:rsidRPr="005136A2" w:rsidRDefault="005136A2" w:rsidP="005136A2">
      <w:pPr xmlns:w="http://schemas.openxmlformats.org/wordprocessingml/2006/main">
        <w:jc w:val="center"/>
        <w:rPr>
          <w:rFonts w:ascii="Calibri" w:eastAsia="Calibri" w:hAnsi="Calibri" w:cs="Calibri"/>
          <w:b/>
          <w:bCs/>
          <w:sz w:val="40"/>
          <w:szCs w:val="40"/>
        </w:rPr>
      </w:pPr>
      <w:r xmlns:w="http://schemas.openxmlformats.org/wordprocessingml/2006/main" w:rsidRPr="005136A2">
        <w:rPr>
          <w:rFonts w:ascii="Calibri" w:eastAsia="Calibri" w:hAnsi="Calibri" w:cs="Calibri"/>
          <w:b/>
          <w:bCs/>
          <w:sz w:val="40"/>
          <w:szCs w:val="40"/>
        </w:rPr>
        <w:t xml:space="preserve">Dr Jeffrey Hudon, Archéologie biblique, </w:t>
      </w:r>
      <w:r xmlns:w="http://schemas.openxmlformats.org/wordprocessingml/2006/main" w:rsidRPr="005136A2">
        <w:rPr>
          <w:rFonts w:ascii="Calibri" w:eastAsia="Calibri" w:hAnsi="Calibri" w:cs="Calibri"/>
          <w:b/>
          <w:bCs/>
          <w:sz w:val="40"/>
          <w:szCs w:val="40"/>
        </w:rPr>
        <w:br xmlns:w="http://schemas.openxmlformats.org/wordprocessingml/2006/main"/>
      </w:r>
      <w:r xmlns:w="http://schemas.openxmlformats.org/wordprocessingml/2006/main" w:rsidR="00000000" w:rsidRPr="005136A2">
        <w:rPr>
          <w:rFonts w:ascii="Calibri" w:eastAsia="Calibri" w:hAnsi="Calibri" w:cs="Calibri"/>
          <w:b/>
          <w:bCs/>
          <w:sz w:val="40"/>
          <w:szCs w:val="40"/>
        </w:rPr>
        <w:t xml:space="preserve">Session 9, L'arène géopolitique, Partie 2</w:t>
      </w:r>
    </w:p>
    <w:p w14:paraId="7ABA70F2" w14:textId="7FE2B2C5" w:rsidR="005136A2" w:rsidRPr="005136A2" w:rsidRDefault="005136A2" w:rsidP="005136A2">
      <w:pPr xmlns:w="http://schemas.openxmlformats.org/wordprocessingml/2006/main">
        <w:jc w:val="center"/>
        <w:rPr>
          <w:rFonts w:ascii="Calibri" w:eastAsia="Calibri" w:hAnsi="Calibri" w:cs="Calibri"/>
          <w:sz w:val="26"/>
          <w:szCs w:val="26"/>
        </w:rPr>
      </w:pPr>
      <w:r xmlns:w="http://schemas.openxmlformats.org/wordprocessingml/2006/main" w:rsidRPr="005136A2">
        <w:rPr>
          <w:rFonts w:ascii="AA Times New Roman" w:eastAsia="Calibri" w:hAnsi="AA Times New Roman" w:cs="AA Times New Roman"/>
          <w:sz w:val="26"/>
          <w:szCs w:val="26"/>
        </w:rPr>
        <w:t xml:space="preserve">© </w:t>
      </w:r>
      <w:r xmlns:w="http://schemas.openxmlformats.org/wordprocessingml/2006/main" w:rsidRPr="005136A2">
        <w:rPr>
          <w:rFonts w:ascii="Calibri" w:eastAsia="Calibri" w:hAnsi="Calibri" w:cs="Calibri"/>
          <w:sz w:val="26"/>
          <w:szCs w:val="26"/>
        </w:rPr>
        <w:t xml:space="preserve">2204 Jeffrey Hudon et Ted Hildebrandt</w:t>
      </w:r>
    </w:p>
    <w:p w14:paraId="5A755055" w14:textId="77777777" w:rsidR="005136A2" w:rsidRPr="005136A2" w:rsidRDefault="005136A2">
      <w:pPr>
        <w:rPr>
          <w:sz w:val="26"/>
          <w:szCs w:val="26"/>
        </w:rPr>
      </w:pPr>
    </w:p>
    <w:p w14:paraId="200C7988" w14:textId="4E1AFA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Il s'agit du Dr Jeffrey Hudon dans son enseignement sur l'archéologie biblique. Il s'agit de la session 9, L'arène géopolitique, partie 2. </w:t>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005136A2" w:rsidRPr="005136A2">
        <w:rPr>
          <w:rFonts w:ascii="Calibri" w:eastAsia="Calibri" w:hAnsi="Calibri" w:cs="Calibri"/>
          <w:sz w:val="26"/>
          <w:szCs w:val="26"/>
        </w:rPr>
        <w:br xmlns:w="http://schemas.openxmlformats.org/wordprocessingml/2006/main"/>
      </w:r>
      <w:r xmlns:w="http://schemas.openxmlformats.org/wordprocessingml/2006/main" w:rsidRPr="005136A2">
        <w:rPr>
          <w:rFonts w:ascii="Calibri" w:eastAsia="Calibri" w:hAnsi="Calibri" w:cs="Calibri"/>
          <w:sz w:val="26"/>
          <w:szCs w:val="26"/>
        </w:rPr>
        <w:t xml:space="preserve">Après l'Empire assyrien, la chute de l'Empire assyrien en 612, l'Empire néo-babylonien a essentiellement pris sa place et s'est approprié tout l'ancien territoire assyrien, créant une série de campagnes vers l’ouest et encore une fois, s’étendant en Égypte. Cependant, contrairement aux Assyriens, l’empire néo-babylonien n’a duré que quelques décennies.</w:t>
      </w:r>
    </w:p>
    <w:p w14:paraId="199F12CD" w14:textId="77777777" w:rsidR="00E83349" w:rsidRPr="005136A2" w:rsidRDefault="00E83349">
      <w:pPr>
        <w:rPr>
          <w:sz w:val="26"/>
          <w:szCs w:val="26"/>
        </w:rPr>
      </w:pPr>
    </w:p>
    <w:p w14:paraId="06A10563" w14:textId="4A99407C"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Désormais, des noms babyloniens importants sont mentionnés dans les Écritures. Tout d’abord, Merodach-Baladan. Merodach-Baladan était un dirigeant babylonien qui fomentait constamment la révolte contre l'Assyrie au 8ème siècle.</w:t>
      </w:r>
    </w:p>
    <w:p w14:paraId="6A58624E" w14:textId="77777777" w:rsidR="00E83349" w:rsidRPr="005136A2" w:rsidRDefault="00E83349">
      <w:pPr>
        <w:rPr>
          <w:sz w:val="26"/>
          <w:szCs w:val="26"/>
        </w:rPr>
      </w:pPr>
    </w:p>
    <w:p w14:paraId="5BC04524" w14:textId="734B020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envoya des émissaires à Ézéchias, et Ézéchias leur montra à nouveau ses capacités, ses armureries, etc. Mais Merodach-Baladan disparut dans le </w:t>
      </w:r>
      <w:proofErr xmlns:w="http://schemas.openxmlformats.org/wordprocessingml/2006/main" w:type="spellStart"/>
      <w:r xmlns:w="http://schemas.openxmlformats.org/wordprocessingml/2006/main">
        <w:rPr>
          <w:rFonts w:ascii="Calibri" w:eastAsia="Calibri" w:hAnsi="Calibri" w:cs="Calibri"/>
          <w:sz w:val="26"/>
          <w:szCs w:val="26"/>
        </w:rPr>
        <w:t xml:space="preserve">Shadal </w:t>
      </w:r>
      <w:proofErr xmlns:w="http://schemas.openxmlformats.org/wordprocessingml/2006/main" w:type="spellEnd"/>
      <w:r xmlns:w="http://schemas.openxmlformats.org/wordprocessingml/2006/main">
        <w:rPr>
          <w:rFonts w:ascii="Calibri" w:eastAsia="Calibri" w:hAnsi="Calibri" w:cs="Calibri"/>
          <w:sz w:val="26"/>
          <w:szCs w:val="26"/>
        </w:rPr>
        <w:t xml:space="preserve">-Arab, pour ne plus jamais en entendre parler. Le roi babylonien Nabopolassar se révolta avec succès contre l'Assyrie, puis commença à marcher sur le territoire assyrien, conquérant d'abord l'ancienne capitale d'Aser, puis Ninive en 612.</w:t>
      </w:r>
    </w:p>
    <w:p w14:paraId="7A296B1D" w14:textId="77777777" w:rsidR="00E83349" w:rsidRPr="005136A2" w:rsidRDefault="00E83349">
      <w:pPr>
        <w:rPr>
          <w:sz w:val="26"/>
          <w:szCs w:val="26"/>
        </w:rPr>
      </w:pPr>
    </w:p>
    <w:p w14:paraId="21FF2D1A" w14:textId="1AAB82F5"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son fils Nabuchodonosor, le célèbre Nabuchodonosor, qui prit la couronne en 605, vainquit la croupe des Assyriens et des Égyptiens, et s'empara du Levant et de l'Égypte. Après cela, une série de déportations ont eu lieu depuis Juda et, tout comme les mêmes techniques de base utilisées par les Assyriens, elles ont été adoptées par les Babyloniens. Maintenant, le dernier roi, après que les Babyloniens eurent vaincu et conquis Juda et détruit Jérusalem et que la majeure partie de la population judéenne fut exilée, l'exil babylonien retourna à Babylone, une série de dirigeants faibles succédèrent à Nabuchodonosor, et le dernier d'entre eux fut Nabonide, qui encore une fois un roi faible et son fils devint de facto le dirigeant de Babylone.</w:t>
      </w:r>
    </w:p>
    <w:p w14:paraId="5571F1C5" w14:textId="77777777" w:rsidR="00E83349" w:rsidRPr="005136A2" w:rsidRDefault="00E83349">
      <w:pPr>
        <w:rPr>
          <w:sz w:val="26"/>
          <w:szCs w:val="26"/>
        </w:rPr>
      </w:pPr>
    </w:p>
    <w:p w14:paraId="0F54FCAB" w14:textId="0F3AC74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Son nom, Belshazzar, bien sûr, était le roi qui avait fait venir Daniel à son banquet rempli de débauche et lire l'écriture sur le mur dans Daniel chapitre 5. Et, bien sûr, Babylone tomba ce soir-là aux mains des Mèdes et des Perses. Il convient cependant de mentionner que Babylone est mentionnée pour la première fois dans Genèse 10.10 comme ayant été fondée par Nimrod. Cela remonte donc aux premières parties de la Genèse.</w:t>
      </w:r>
    </w:p>
    <w:p w14:paraId="4A6DE764" w14:textId="77777777" w:rsidR="00E83349" w:rsidRPr="005136A2" w:rsidRDefault="00E83349">
      <w:pPr>
        <w:rPr>
          <w:sz w:val="26"/>
          <w:szCs w:val="26"/>
        </w:rPr>
      </w:pPr>
    </w:p>
    <w:p w14:paraId="7552B4C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Pendant sa courte durée, Babylone a eu une beauté, une architecture et une civilisation extraordinaires. Il s'agit de la célèbre porte d'Ishtar, l'une des sept merveilles du monde antique. Reconstitution artistique de cela.</w:t>
      </w:r>
    </w:p>
    <w:p w14:paraId="00EF15A3" w14:textId="77777777" w:rsidR="00E83349" w:rsidRPr="005136A2" w:rsidRDefault="00E83349">
      <w:pPr>
        <w:rPr>
          <w:sz w:val="26"/>
          <w:szCs w:val="26"/>
        </w:rPr>
      </w:pPr>
    </w:p>
    <w:p w14:paraId="6F1DB6C0"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Il est partiellement reconstruit au Musée de Berlin, que nous avons ici. Il s'agit d'une porte de cérémonie, comme vous pouvez le voir ici grâce à une représentation d'artiste dans le coin supérieur gauche. Encore une fois, des briques vernissées avec des lions et différentes créatures mythiques de la religion babylonienne ornaient les murs.</w:t>
      </w:r>
    </w:p>
    <w:p w14:paraId="61F8C7DB" w14:textId="77777777" w:rsidR="00E83349" w:rsidRPr="005136A2" w:rsidRDefault="00E83349">
      <w:pPr>
        <w:rPr>
          <w:sz w:val="26"/>
          <w:szCs w:val="26"/>
        </w:rPr>
      </w:pPr>
    </w:p>
    <w:p w14:paraId="2017F55A" w14:textId="6684C066"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Magnifiquement reconstruit à nouveau exposé à Berlin. L'une des questions que les archéologues se sont posées à propos de l'ancienne Babylone était la suivante : où se trouvaient les légendaires jardins suspendus de Babylone que le roi de Babylone avait construits pour sa femme, habituée à un terrain montagneux, et non à la vallée plate du Tigre et de l'Euphrate ? L'un d'entre eux, encore une fois, comporte diverses suggestions. Robert Koldewey, l'archéologue allemand qui a fouillé Babylone, a suggéré un endroit.</w:t>
      </w:r>
    </w:p>
    <w:p w14:paraId="522C3A89" w14:textId="77777777" w:rsidR="00E83349" w:rsidRPr="005136A2" w:rsidRDefault="00E83349">
      <w:pPr>
        <w:rPr>
          <w:sz w:val="26"/>
          <w:szCs w:val="26"/>
        </w:rPr>
      </w:pPr>
    </w:p>
    <w:p w14:paraId="05CE867F" w14:textId="621AB51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Et DJ Wiseman, en 1984, a suggéré le projet près de l'Euphrate. Personne ne le sait vraiment. Cependant, des travaux récents de Stephanie Dowley, une assyriologue britannique, suggèrent que les historiens qui mentionnent les jardins suspendus sont tous de date classique.</w:t>
      </w:r>
    </w:p>
    <w:p w14:paraId="5F0A58C1" w14:textId="77777777" w:rsidR="00E83349" w:rsidRPr="005136A2" w:rsidRDefault="00E83349">
      <w:pPr>
        <w:rPr>
          <w:sz w:val="26"/>
          <w:szCs w:val="26"/>
        </w:rPr>
      </w:pPr>
    </w:p>
    <w:p w14:paraId="2AFBBACF" w14:textId="35A2951E"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historiens grecs. Elle pense qu'ils se sont trompés et que les jardins dont ils parlent ne sont pas babyloniens mais plutôt assyriens. Peut-être que Nabuchodonosor ou Assurbanipal sont représentés à la place.</w:t>
      </w:r>
    </w:p>
    <w:p w14:paraId="163A50BF" w14:textId="77777777" w:rsidR="00E83349" w:rsidRPr="005136A2" w:rsidRDefault="00E83349">
      <w:pPr>
        <w:rPr>
          <w:sz w:val="26"/>
          <w:szCs w:val="26"/>
        </w:rPr>
      </w:pPr>
    </w:p>
    <w:p w14:paraId="5638760B" w14:textId="34ACFC94"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C’est donc une question ouverte, et beaucoup de gens verseraient beaucoup de larmes si les jardins suspendus de Babylone devenaient les jardins suspendus de Ninive. Mais selon Dowley, c’est probablement ce qu’il était à l’origine, et il n’y avait pas de véritables jardins suspendus à Babylone proprement dite. Maintenant, la représentation en haut à droite est une vis d'Archimède, qui donne en fait la possibilité de faire couler l'eau vers le haut, d'élever l'eau à un niveau plus élevé, puis d'irriguer les jardins.</w:t>
      </w:r>
    </w:p>
    <w:p w14:paraId="4F1568D9" w14:textId="77777777" w:rsidR="00E83349" w:rsidRPr="005136A2" w:rsidRDefault="00E83349">
      <w:pPr>
        <w:rPr>
          <w:sz w:val="26"/>
          <w:szCs w:val="26"/>
        </w:rPr>
      </w:pPr>
    </w:p>
    <w:p w14:paraId="03643968" w14:textId="3E610304"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Et c'est ainsi que ces jardins étaient apparemment irrigués. Cependant, l'invention de cet appareil est plus tardive, nous ne savons donc pas si les Assyriens ou les Babyloniens possédaient une technologie comme celle-ci ou si elle a été inventée plus tard et peut-être ensuite transposée dans la littérature des Assyriens ou des Babyloniens. Encore une fois, il s'agit d'une représentation artistique de Nabonide et de sa reine lors d'une visite de la ville de Babylone.</w:t>
      </w:r>
    </w:p>
    <w:p w14:paraId="36FB05D3" w14:textId="77777777" w:rsidR="00E83349" w:rsidRPr="005136A2" w:rsidRDefault="00E83349">
      <w:pPr>
        <w:rPr>
          <w:sz w:val="26"/>
          <w:szCs w:val="26"/>
        </w:rPr>
      </w:pPr>
    </w:p>
    <w:p w14:paraId="571B4E96" w14:textId="4F6EA782"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Et encore une fois, comme à Ninive, la grandeur et le spectacle de ces anciennes villes étaient quelque chose à voir. Babylone tomba de nouveau en 539 aux mains des Assyriens sous Cyrus le Grand, ou excusez-moi, aux mains des Perses sous Cyrus le Grand. Les Perses ont créé un empire encore plus vaste que l’empire assyrien ou babylonien, s’étendant jusqu’à la vallée de l’Indus, jusqu’en Égypte, en Asie Mineure et même dans certaines parties de l’Europe.</w:t>
      </w:r>
    </w:p>
    <w:p w14:paraId="4DA2AFA7" w14:textId="77777777" w:rsidR="00E83349" w:rsidRPr="005136A2" w:rsidRDefault="00E83349">
      <w:pPr>
        <w:rPr>
          <w:sz w:val="26"/>
          <w:szCs w:val="26"/>
        </w:rPr>
      </w:pPr>
    </w:p>
    <w:p w14:paraId="7539675E" w14:textId="6B75BE41"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Encore une fois, à travers l’isthme ou le Bosphore et les Dardanelles jusqu’au nord de la Grèce dans les Balkans. Donc, un immense empire, et cela a duré jusqu'en 333 avant JC, donc environ 200 ans. Cyrus le Grand, qui conquit à nouveau Babylone, eut un édit l' </w:t>
      </w: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année suivante qui autorisait tous les captifs, tous les peuples déportés, la possibilité de retourner dans leur nation, leur pays ou leur région d'origine et de s'y réinstaller.</w:t>
      </w:r>
    </w:p>
    <w:p w14:paraId="363F68DA" w14:textId="77777777" w:rsidR="00E83349" w:rsidRPr="005136A2" w:rsidRDefault="00E83349">
      <w:pPr>
        <w:rPr>
          <w:sz w:val="26"/>
          <w:szCs w:val="26"/>
        </w:rPr>
      </w:pPr>
    </w:p>
    <w:p w14:paraId="39A635A8" w14:textId="296254FB"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Et ainsi, des groupes de Juifs, le premier groupe sous Zorobabel et les vagues ultérieures qui suivirent, retournèrent en Juda, retournèrent à Jérusalem et commencèrent à reconstruire leur vie. Cependant, il s’agissait probablement d’une minorité, le reste fidèle qui retourna en Juda. La plupart des Juifs s’étaient assimilés à la culture babylonienne et, bien sûr, avaient ensuite facilement évolué vers la culture persane.</w:t>
      </w:r>
    </w:p>
    <w:p w14:paraId="38654C4B" w14:textId="77777777" w:rsidR="00E83349" w:rsidRPr="005136A2" w:rsidRDefault="00E83349">
      <w:pPr>
        <w:rPr>
          <w:sz w:val="26"/>
          <w:szCs w:val="26"/>
        </w:rPr>
      </w:pPr>
    </w:p>
    <w:p w14:paraId="212CA00E" w14:textId="4E56E414"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Leurs filles et leurs fils s’y trouvaient à l’aise et restèrent donc en Perse. Ce sont les groupes qui sont revenus et qui aspiraient à la vie que leurs ancêtres vivaient en Terre Sainte, en Juda, qui ont reconstruit Jérusalem, reconstruit le temple et ont commencé à reconstruire leur vie dans leur pays d'origine. Or, cette série de provinces a été créée sous l’Empire perse.</w:t>
      </w:r>
    </w:p>
    <w:p w14:paraId="48050583" w14:textId="77777777" w:rsidR="00E83349" w:rsidRPr="005136A2" w:rsidRDefault="00E83349">
      <w:pPr>
        <w:rPr>
          <w:sz w:val="26"/>
          <w:szCs w:val="26"/>
        </w:rPr>
      </w:pPr>
    </w:p>
    <w:p w14:paraId="03B156EC" w14:textId="0F5C0D8F" w:rsidR="00E83349" w:rsidRPr="005136A2" w:rsidRDefault="005136A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province de </w:t>
      </w:r>
      <w:proofErr xmlns:w="http://schemas.openxmlformats.org/wordprocessingml/2006/main" w:type="spellStart"/>
      <w:r xmlns:w="http://schemas.openxmlformats.org/wordprocessingml/2006/main">
        <w:rPr>
          <w:rFonts w:ascii="Calibri" w:eastAsia="Calibri" w:hAnsi="Calibri" w:cs="Calibri"/>
          <w:sz w:val="26"/>
          <w:szCs w:val="26"/>
        </w:rPr>
        <w:t xml:space="preserve">Yehud </w:t>
      </w:r>
      <w:proofErr xmlns:w="http://schemas.openxmlformats.org/wordprocessingml/2006/main" w:type="spellEnd"/>
      <w:r xmlns:w="http://schemas.openxmlformats.org/wordprocessingml/2006/main">
        <w:rPr>
          <w:rFonts w:ascii="Calibri" w:eastAsia="Calibri" w:hAnsi="Calibri" w:cs="Calibri"/>
          <w:sz w:val="26"/>
          <w:szCs w:val="26"/>
        </w:rPr>
        <w:t xml:space="preserve">, Juda, conserva à nouveau le nom de l'ancien royaume. Cela était supervisé par des gouverneurs juifs, parmi lesquels, bien sûr, Néhémie. Aujourd’hui, à l’échelle mondiale, les rois perses ultérieurs ont tenté à plusieurs reprises d’étendre leur empire en envahissant la Grèce, sans succès.</w:t>
      </w:r>
    </w:p>
    <w:p w14:paraId="45605787" w14:textId="77777777" w:rsidR="00E83349" w:rsidRPr="005136A2" w:rsidRDefault="00E83349">
      <w:pPr>
        <w:rPr>
          <w:sz w:val="26"/>
          <w:szCs w:val="26"/>
        </w:rPr>
      </w:pPr>
    </w:p>
    <w:p w14:paraId="1C0AADF0" w14:textId="429B32FD"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Mais encore une fois, l’un d’eux, Xerxès, est apparemment le roi Assuérus du Livre d’Esther. La plupart des chercheurs estiment que ces deux éléments sont égaux. La Perse et ses dirigeants sont devenus de plus en plus corrompus et l’empire s’est désintégré depuis le centre.</w:t>
      </w:r>
    </w:p>
    <w:p w14:paraId="60BF8622" w14:textId="77777777" w:rsidR="00E83349" w:rsidRPr="005136A2" w:rsidRDefault="00E83349">
      <w:pPr>
        <w:rPr>
          <w:sz w:val="26"/>
          <w:szCs w:val="26"/>
        </w:rPr>
      </w:pPr>
    </w:p>
    <w:p w14:paraId="2E89BE2A"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Et ce n’est que grâce à Alexandre et à son armée qu’ils ont continué à attaquer et à vaincre des armées perses de plus en plus grandes, d’abord en Asie Mineure près du fleuve Granique, puis à Issus et Arbela, et l’empire perse vient d’imploser. Et l'ancien grand empire perse qui nous a donné des paroles telles que la pluie, la neige ou le grésil n'arrêtera pas le courrier, etc., est tombé en ruine et a été détruit. Ce sont les ruines de Persépolis, la capitale perse.</w:t>
      </w:r>
    </w:p>
    <w:p w14:paraId="755115BD" w14:textId="77777777" w:rsidR="00E83349" w:rsidRPr="005136A2" w:rsidRDefault="00E83349">
      <w:pPr>
        <w:rPr>
          <w:sz w:val="26"/>
          <w:szCs w:val="26"/>
        </w:rPr>
      </w:pPr>
    </w:p>
    <w:p w14:paraId="42BBF49D"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C'est ce qui aurait été le cas, à l'origine, vous voyez les colonnes qui se trouvent là. Celles-ci auraient été complétées par des colonnes en bois, probablement des cèdres du Liban et d'autres bois. Et toute la superstructure était en bois.</w:t>
      </w:r>
    </w:p>
    <w:p w14:paraId="3FA3F5BD" w14:textId="77777777" w:rsidR="00E83349" w:rsidRPr="005136A2" w:rsidRDefault="00E83349">
      <w:pPr>
        <w:rPr>
          <w:sz w:val="26"/>
          <w:szCs w:val="26"/>
        </w:rPr>
      </w:pPr>
    </w:p>
    <w:p w14:paraId="1017312D" w14:textId="6A8F6C53"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Tout cela fut brûlé par la destruction de cette ville par Alexandre. Mais vous voyez ici un escalier monumental avec des représentations de nobles persans montant dans le palais. Représentation artistique de Cyrus le Grand entrant dans Babylone après sa capture et son tombeau à Pasargades.</w:t>
      </w:r>
    </w:p>
    <w:p w14:paraId="64C632D5" w14:textId="77777777" w:rsidR="00E83349" w:rsidRPr="005136A2" w:rsidRDefault="00E83349">
      <w:pPr>
        <w:rPr>
          <w:sz w:val="26"/>
          <w:szCs w:val="26"/>
        </w:rPr>
      </w:pPr>
    </w:p>
    <w:p w14:paraId="22990B05" w14:textId="3191E135" w:rsidR="00E83349" w:rsidRPr="005136A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Basargadeh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était un vaste palais et un jardin qui ont été fouillés par David Stronach et rédigés. Un site incroyable dans l’Iran moderne. Encore une fois, cela nous donne juste un avant-goût de ce qu’était la gloire de la Perse.</w:t>
      </w:r>
    </w:p>
    <w:p w14:paraId="64487909" w14:textId="77777777" w:rsidR="00E83349" w:rsidRPr="005136A2" w:rsidRDefault="00E83349">
      <w:pPr>
        <w:rPr>
          <w:sz w:val="26"/>
          <w:szCs w:val="26"/>
        </w:rPr>
      </w:pPr>
    </w:p>
    <w:p w14:paraId="4B582D47" w14:textId="06584788"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lastRenderedPageBreak xmlns:w="http://schemas.openxmlformats.org/wordprocessingml/2006/main"/>
      </w:r>
      <w:r xmlns:w="http://schemas.openxmlformats.org/wordprocessingml/2006/main" w:rsidRPr="005136A2">
        <w:rPr>
          <w:rFonts w:ascii="Calibri" w:eastAsia="Calibri" w:hAnsi="Calibri" w:cs="Calibri"/>
          <w:sz w:val="26"/>
          <w:szCs w:val="26"/>
        </w:rPr>
        <w:t xml:space="preserve">Il s'agit de l'une des copies du cylindre de Cyrus, encore une fois l'édit de Cyrus, </w:t>
      </w:r>
      <w:r xmlns:w="http://schemas.openxmlformats.org/wordprocessingml/2006/main" w:rsidR="005136A2">
        <w:rPr>
          <w:rFonts w:ascii="Calibri" w:eastAsia="Calibri" w:hAnsi="Calibri" w:cs="Calibri"/>
          <w:sz w:val="26"/>
          <w:szCs w:val="26"/>
        </w:rPr>
        <w:t xml:space="preserve">qui permettait aux captifs de retourner dans leur pays d'origine après avoir été en captivité pendant si longtemps. Il y a d'autres images de Persépolis et de Suse, qui était une capitale auxiliaire, et encore une fois, les événements du Livre d'Esther s'y sont déroulés. Or, dans les provinces, à l'époque perse, la monnaie se généralise.</w:t>
      </w:r>
    </w:p>
    <w:p w14:paraId="10CDE2EC" w14:textId="77777777" w:rsidR="00E83349" w:rsidRPr="005136A2" w:rsidRDefault="00E83349">
      <w:pPr>
        <w:rPr>
          <w:sz w:val="26"/>
          <w:szCs w:val="26"/>
        </w:rPr>
      </w:pPr>
    </w:p>
    <w:p w14:paraId="45874150" w14:textId="03BCDE8A"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Et les premières pièces de monnaie juives ont été frappées à Jérusalem. Et celui-ci en fait partie ici. Ceci est considérablement élargi.</w:t>
      </w:r>
    </w:p>
    <w:p w14:paraId="70E18223" w14:textId="77777777" w:rsidR="00E83349" w:rsidRPr="005136A2" w:rsidRDefault="00E83349">
      <w:pPr>
        <w:rPr>
          <w:sz w:val="26"/>
          <w:szCs w:val="26"/>
        </w:rPr>
      </w:pPr>
    </w:p>
    <w:p w14:paraId="164A5E05" w14:textId="77777777"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Ces pièces d'argent avaient à peu près le diamètre de la tête d'un clou de 16 penny, extrêmement petites, environ la moitié du diamètre d'une pièce de dix cents, en argent pur. Et ceci est écrit en lettres paléo-hébraïques,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 avec un brin de grain ici de l'autre côté. Et les pièces de monnaie israéliennes modernes en shekel copient une de ces variantes de la pièce de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w:t>
      </w:r>
    </w:p>
    <w:p w14:paraId="3E05AF79" w14:textId="77777777" w:rsidR="00E83349" w:rsidRPr="005136A2" w:rsidRDefault="00E83349">
      <w:pPr>
        <w:rPr>
          <w:sz w:val="26"/>
          <w:szCs w:val="26"/>
        </w:rPr>
      </w:pPr>
    </w:p>
    <w:p w14:paraId="7B297DA2" w14:textId="6914BD49" w:rsidR="00E83349" w:rsidRPr="005136A2" w:rsidRDefault="00000000">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Celui-ci, selon l'inscription, a été trouvé près de Jéricho. De plus, des impressions de sceaux de la période persane sur des pots de stockage mentionnant </w:t>
      </w:r>
      <w:proofErr xmlns:w="http://schemas.openxmlformats.org/wordprocessingml/2006/main" w:type="spellStart"/>
      <w:r xmlns:w="http://schemas.openxmlformats.org/wordprocessingml/2006/main" w:rsidRPr="005136A2">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5136A2">
        <w:rPr>
          <w:rFonts w:ascii="Calibri" w:eastAsia="Calibri" w:hAnsi="Calibri" w:cs="Calibri"/>
          <w:sz w:val="26"/>
          <w:szCs w:val="26"/>
        </w:rPr>
        <w:t xml:space="preserve">et d'autres variantes ont été trouvées. Ceux-ci sont rassemblés par deux chercheurs et publiés.</w:t>
      </w:r>
    </w:p>
    <w:p w14:paraId="01C5B767" w14:textId="77777777" w:rsidR="00E83349" w:rsidRPr="005136A2" w:rsidRDefault="00E83349">
      <w:pPr>
        <w:rPr>
          <w:sz w:val="26"/>
          <w:szCs w:val="26"/>
        </w:rPr>
      </w:pPr>
    </w:p>
    <w:p w14:paraId="19198E29" w14:textId="540BF7B2"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Il existait donc un système officiel de collecte des impôts ou des produits agricoles qui était réglementé et utilisé via ces jarres de stockage pendant la période perse en Juda. Et encore une fois, une représentation artistique de la destruction finale de Persépolis par Alexandre le Grand en 331 avant JC. Merci beaucoup.</w:t>
      </w:r>
    </w:p>
    <w:p w14:paraId="046F8707" w14:textId="77777777" w:rsidR="00E83349" w:rsidRPr="005136A2" w:rsidRDefault="00E83349">
      <w:pPr>
        <w:rPr>
          <w:sz w:val="26"/>
          <w:szCs w:val="26"/>
        </w:rPr>
      </w:pPr>
    </w:p>
    <w:p w14:paraId="459BD0A3" w14:textId="76112803" w:rsidR="00E83349" w:rsidRPr="005136A2" w:rsidRDefault="005136A2">
      <w:pPr xmlns:w="http://schemas.openxmlformats.org/wordprocessingml/2006/main">
        <w:rPr>
          <w:sz w:val="26"/>
          <w:szCs w:val="26"/>
        </w:rPr>
      </w:pPr>
      <w:r xmlns:w="http://schemas.openxmlformats.org/wordprocessingml/2006/main" w:rsidRPr="005136A2">
        <w:rPr>
          <w:rFonts w:ascii="Calibri" w:eastAsia="Calibri" w:hAnsi="Calibri" w:cs="Calibri"/>
          <w:sz w:val="26"/>
          <w:szCs w:val="26"/>
        </w:rPr>
        <w:t xml:space="preserve">Il s'agit du Dr Jeffrey Hudon dans son enseignement sur l'archéologie biblique. Il s'agit de la session 9, L'arène géopolitique, partie 2. Merci.</w:t>
      </w:r>
    </w:p>
    <w:sectPr w:rsidR="00E83349" w:rsidRPr="005136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45C3" w14:textId="77777777" w:rsidR="00F619DA" w:rsidRDefault="00F619DA" w:rsidP="005136A2">
      <w:r>
        <w:separator/>
      </w:r>
    </w:p>
  </w:endnote>
  <w:endnote w:type="continuationSeparator" w:id="0">
    <w:p w14:paraId="56EA62CF" w14:textId="77777777" w:rsidR="00F619DA" w:rsidRDefault="00F619DA" w:rsidP="0051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E78C9" w14:textId="77777777" w:rsidR="00F619DA" w:rsidRDefault="00F619DA" w:rsidP="005136A2">
      <w:r>
        <w:separator/>
      </w:r>
    </w:p>
  </w:footnote>
  <w:footnote w:type="continuationSeparator" w:id="0">
    <w:p w14:paraId="7BF208EC" w14:textId="77777777" w:rsidR="00F619DA" w:rsidRDefault="00F619DA" w:rsidP="00513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87022"/>
      <w:docPartObj>
        <w:docPartGallery w:val="Page Numbers (Top of Page)"/>
        <w:docPartUnique/>
      </w:docPartObj>
    </w:sdtPr>
    <w:sdtEndPr>
      <w:rPr>
        <w:noProof/>
      </w:rPr>
    </w:sdtEndPr>
    <w:sdtContent>
      <w:p w14:paraId="4382EC4F" w14:textId="2AA7E57C" w:rsidR="005136A2" w:rsidRDefault="005136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DABB15" w14:textId="77777777" w:rsidR="005136A2" w:rsidRDefault="00513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C323A"/>
    <w:multiLevelType w:val="hybridMultilevel"/>
    <w:tmpl w:val="2A80C748"/>
    <w:lvl w:ilvl="0" w:tplc="88522CFE">
      <w:start w:val="1"/>
      <w:numFmt w:val="bullet"/>
      <w:lvlText w:val="●"/>
      <w:lvlJc w:val="left"/>
      <w:pPr>
        <w:ind w:left="720" w:hanging="360"/>
      </w:pPr>
    </w:lvl>
    <w:lvl w:ilvl="1" w:tplc="800CD2C4">
      <w:start w:val="1"/>
      <w:numFmt w:val="bullet"/>
      <w:lvlText w:val="○"/>
      <w:lvlJc w:val="left"/>
      <w:pPr>
        <w:ind w:left="1440" w:hanging="360"/>
      </w:pPr>
    </w:lvl>
    <w:lvl w:ilvl="2" w:tplc="5FBE8F8A">
      <w:start w:val="1"/>
      <w:numFmt w:val="bullet"/>
      <w:lvlText w:val="■"/>
      <w:lvlJc w:val="left"/>
      <w:pPr>
        <w:ind w:left="2160" w:hanging="360"/>
      </w:pPr>
    </w:lvl>
    <w:lvl w:ilvl="3" w:tplc="1292B84E">
      <w:start w:val="1"/>
      <w:numFmt w:val="bullet"/>
      <w:lvlText w:val="●"/>
      <w:lvlJc w:val="left"/>
      <w:pPr>
        <w:ind w:left="2880" w:hanging="360"/>
      </w:pPr>
    </w:lvl>
    <w:lvl w:ilvl="4" w:tplc="33FCC51C">
      <w:start w:val="1"/>
      <w:numFmt w:val="bullet"/>
      <w:lvlText w:val="○"/>
      <w:lvlJc w:val="left"/>
      <w:pPr>
        <w:ind w:left="3600" w:hanging="360"/>
      </w:pPr>
    </w:lvl>
    <w:lvl w:ilvl="5" w:tplc="3C3056E0">
      <w:start w:val="1"/>
      <w:numFmt w:val="bullet"/>
      <w:lvlText w:val="■"/>
      <w:lvlJc w:val="left"/>
      <w:pPr>
        <w:ind w:left="4320" w:hanging="360"/>
      </w:pPr>
    </w:lvl>
    <w:lvl w:ilvl="6" w:tplc="2F22AE14">
      <w:start w:val="1"/>
      <w:numFmt w:val="bullet"/>
      <w:lvlText w:val="●"/>
      <w:lvlJc w:val="left"/>
      <w:pPr>
        <w:ind w:left="5040" w:hanging="360"/>
      </w:pPr>
    </w:lvl>
    <w:lvl w:ilvl="7" w:tplc="DEFAAEFA">
      <w:start w:val="1"/>
      <w:numFmt w:val="bullet"/>
      <w:lvlText w:val="●"/>
      <w:lvlJc w:val="left"/>
      <w:pPr>
        <w:ind w:left="5760" w:hanging="360"/>
      </w:pPr>
    </w:lvl>
    <w:lvl w:ilvl="8" w:tplc="609A6DCA">
      <w:start w:val="1"/>
      <w:numFmt w:val="bullet"/>
      <w:lvlText w:val="●"/>
      <w:lvlJc w:val="left"/>
      <w:pPr>
        <w:ind w:left="6480" w:hanging="360"/>
      </w:pPr>
    </w:lvl>
  </w:abstractNum>
  <w:num w:numId="1" w16cid:durableId="11730308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49"/>
    <w:rsid w:val="005136A2"/>
    <w:rsid w:val="00E83349"/>
    <w:rsid w:val="00F619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E99E7"/>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36A2"/>
    <w:pPr>
      <w:tabs>
        <w:tab w:val="center" w:pos="4680"/>
        <w:tab w:val="right" w:pos="9360"/>
      </w:tabs>
    </w:pPr>
  </w:style>
  <w:style w:type="character" w:customStyle="1" w:styleId="HeaderChar">
    <w:name w:val="Header Char"/>
    <w:basedOn w:val="DefaultParagraphFont"/>
    <w:link w:val="Header"/>
    <w:uiPriority w:val="99"/>
    <w:rsid w:val="005136A2"/>
  </w:style>
  <w:style w:type="paragraph" w:styleId="Footer">
    <w:name w:val="footer"/>
    <w:basedOn w:val="Normal"/>
    <w:link w:val="FooterChar"/>
    <w:uiPriority w:val="99"/>
    <w:unhideWhenUsed/>
    <w:rsid w:val="005136A2"/>
    <w:pPr>
      <w:tabs>
        <w:tab w:val="center" w:pos="4680"/>
        <w:tab w:val="right" w:pos="9360"/>
      </w:tabs>
    </w:pPr>
  </w:style>
  <w:style w:type="character" w:customStyle="1" w:styleId="FooterChar">
    <w:name w:val="Footer Char"/>
    <w:basedOn w:val="DefaultParagraphFont"/>
    <w:link w:val="Footer"/>
    <w:uiPriority w:val="99"/>
    <w:rsid w:val="00513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1509</Words>
  <Characters>7616</Characters>
  <Application>Microsoft Office Word</Application>
  <DocSecurity>0</DocSecurity>
  <Lines>154</Lines>
  <Paragraphs>30</Paragraphs>
  <ScaleCrop>false</ScaleCrop>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Ses09</dc:title>
  <dc:creator>TurboScribe.ai</dc:creator>
  <cp:lastModifiedBy>Ted Hildebrandt</cp:lastModifiedBy>
  <cp:revision>2</cp:revision>
  <dcterms:created xsi:type="dcterms:W3CDTF">2024-02-13T10:50:00Z</dcterms:created>
  <dcterms:modified xsi:type="dcterms:W3CDTF">2024-04-10T19:11:00Z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d96ce60efb4705bfaf2f1144909c9c134fcad0ec11989f03cb61d2cc0ca11bf4</vt:lpwstr>
  </property>
</Properties>
</file>