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E86D" w14:textId="4B139EFB" w:rsidR="00B40D0E" w:rsidRPr="00B40D0E" w:rsidRDefault="00B40D0E" w:rsidP="00B40D0E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B40D0E">
        <w:rPr>
          <w:rFonts w:ascii="Calibri" w:eastAsia="Calibri" w:hAnsi="Calibri" w:cs="Calibri"/>
          <w:b/>
          <w:bCs/>
          <w:sz w:val="40"/>
          <w:szCs w:val="40"/>
        </w:rPr>
        <w:t xml:space="preserve">Dr David Howard, Joshua-Ruth, sesja 10</w:t>
      </w:r>
    </w:p>
    <w:p w14:paraId="5FF934F3" w14:textId="401F6459" w:rsidR="00164ED3" w:rsidRPr="00B40D0E" w:rsidRDefault="00000000" w:rsidP="00B40D0E">
      <w:pPr xmlns:w="http://schemas.openxmlformats.org/wordprocessingml/2006/main">
        <w:jc w:val="center"/>
        <w:rPr>
          <w:sz w:val="40"/>
          <w:szCs w:val="40"/>
        </w:rPr>
      </w:pPr>
      <w:r xmlns:w="http://schemas.openxmlformats.org/wordprocessingml/2006/main" w:rsidRPr="00B40D0E">
        <w:rPr>
          <w:rFonts w:ascii="Calibri" w:eastAsia="Calibri" w:hAnsi="Calibri" w:cs="Calibri"/>
          <w:b/>
          <w:bCs/>
          <w:sz w:val="40"/>
          <w:szCs w:val="40"/>
        </w:rPr>
        <w:t xml:space="preserve">Wycieczka do Achan</w:t>
      </w:r>
    </w:p>
    <w:p w14:paraId="56026567" w14:textId="3C266415" w:rsidR="00B40D0E" w:rsidRPr="00B40D0E" w:rsidRDefault="00B40D0E" w:rsidP="00B40D0E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B40D0E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B40D0E">
        <w:rPr>
          <w:rFonts w:ascii="Calibri" w:eastAsia="Calibri" w:hAnsi="Calibri" w:cs="Calibri"/>
          <w:sz w:val="26"/>
          <w:szCs w:val="26"/>
        </w:rPr>
        <w:t xml:space="preserve">2024 David Howard i Ted Hildebrandt</w:t>
      </w:r>
    </w:p>
    <w:p w14:paraId="7D0BDC69" w14:textId="77777777" w:rsidR="00B40D0E" w:rsidRPr="00B40D0E" w:rsidRDefault="00B40D0E">
      <w:pPr>
        <w:rPr>
          <w:rFonts w:ascii="Calibri" w:eastAsia="Calibri" w:hAnsi="Calibri" w:cs="Calibri"/>
          <w:sz w:val="26"/>
          <w:szCs w:val="26"/>
        </w:rPr>
      </w:pPr>
    </w:p>
    <w:p w14:paraId="529ACA06" w14:textId="6BC6B0B9" w:rsidR="00B40D0E" w:rsidRPr="00B40D0E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B40D0E">
        <w:rPr>
          <w:rFonts w:ascii="Calibri" w:eastAsia="Calibri" w:hAnsi="Calibri" w:cs="Calibri"/>
          <w:sz w:val="26"/>
          <w:szCs w:val="26"/>
        </w:rPr>
        <w:t xml:space="preserve">To jest dr David Howard w swoim nauczaniu na temat ksiąg Jozuego poprzez Rut. To jest sesja 10, Jozue 7, Rahab i Achan Excursus.</w:t>
      </w:r>
    </w:p>
    <w:p w14:paraId="5264E96B" w14:textId="77777777" w:rsidR="00B40D0E" w:rsidRPr="00B40D0E" w:rsidRDefault="00B40D0E">
      <w:pPr>
        <w:rPr>
          <w:rFonts w:ascii="Calibri" w:eastAsia="Calibri" w:hAnsi="Calibri" w:cs="Calibri"/>
          <w:sz w:val="26"/>
          <w:szCs w:val="26"/>
        </w:rPr>
      </w:pPr>
    </w:p>
    <w:p w14:paraId="7671251E" w14:textId="42564392" w:rsidR="00164ED3" w:rsidRPr="00B40D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0D0E">
        <w:rPr>
          <w:rFonts w:ascii="Calibri" w:eastAsia="Calibri" w:hAnsi="Calibri" w:cs="Calibri"/>
          <w:sz w:val="26"/>
          <w:szCs w:val="26"/>
        </w:rPr>
        <w:t xml:space="preserve">Kiedy dochodzimy do końca rozdziału 7, zauważamy interesujący kontrast między dwiema głównymi postaciami z rozdziałów 6 i 7. W rozdziale 2 widzieliśmy już dość szczegółowo o Rachab, która była Kananejczykiem, który przyjął wiarę Izraela.</w:t>
      </w:r>
    </w:p>
    <w:p w14:paraId="6DA9DDBE" w14:textId="77777777" w:rsidR="00164ED3" w:rsidRPr="00B40D0E" w:rsidRDefault="00164ED3">
      <w:pPr>
        <w:rPr>
          <w:sz w:val="26"/>
          <w:szCs w:val="26"/>
        </w:rPr>
      </w:pPr>
    </w:p>
    <w:p w14:paraId="28ACA6F4" w14:textId="026B16D4" w:rsidR="00164ED3" w:rsidRPr="00B40D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0D0E">
        <w:rPr>
          <w:rFonts w:ascii="Calibri" w:eastAsia="Calibri" w:hAnsi="Calibri" w:cs="Calibri"/>
          <w:sz w:val="26"/>
          <w:szCs w:val="26"/>
        </w:rPr>
        <w:t xml:space="preserve">A potem w rozdziale 6 widzimy, że ona i jej rodzina zostały oszczędzone dzięki tej wierze. W rozdziale 7 widzimy, jak Achan grzeszy i jakie są tego następstwa, a ostatecznie cierpi z powodu całkowitego zniszczenia siebie i swojej rodziny. Widzimy więc, że możemy w pewnym sensie zwizualizować kontrast, patrząc na to.</w:t>
      </w:r>
    </w:p>
    <w:p w14:paraId="028DABE5" w14:textId="77777777" w:rsidR="00164ED3" w:rsidRPr="00B40D0E" w:rsidRDefault="00164ED3">
      <w:pPr>
        <w:rPr>
          <w:sz w:val="26"/>
          <w:szCs w:val="26"/>
        </w:rPr>
      </w:pPr>
    </w:p>
    <w:p w14:paraId="10082E16" w14:textId="77777777" w:rsidR="00164ED3" w:rsidRPr="00B40D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0D0E">
        <w:rPr>
          <w:rFonts w:ascii="Calibri" w:eastAsia="Calibri" w:hAnsi="Calibri" w:cs="Calibri"/>
          <w:sz w:val="26"/>
          <w:szCs w:val="26"/>
        </w:rPr>
        <w:t xml:space="preserve">Achan był oczywiście Izraelitą, a tekst bardzo jasno wyjaśnia, z jakiego klanu pochodził i tak dalej. Ale w pewnym sensie spotkał go los Kananejczyków. Został doszczętnie zniszczony, tak jak Kananejczycy mieli zostać zniszczeni.</w:t>
      </w:r>
    </w:p>
    <w:p w14:paraId="24DCB6D2" w14:textId="77777777" w:rsidR="00164ED3" w:rsidRPr="00B40D0E" w:rsidRDefault="00164ED3">
      <w:pPr>
        <w:rPr>
          <w:sz w:val="26"/>
          <w:szCs w:val="26"/>
        </w:rPr>
      </w:pPr>
    </w:p>
    <w:p w14:paraId="425E62F1" w14:textId="61E90D1A" w:rsidR="00164ED3" w:rsidRPr="00B40D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0D0E">
        <w:rPr>
          <w:rFonts w:ascii="Calibri" w:eastAsia="Calibri" w:hAnsi="Calibri" w:cs="Calibri"/>
          <w:sz w:val="26"/>
          <w:szCs w:val="26"/>
        </w:rPr>
        <w:t xml:space="preserve">I tak w pewnym sensie Achan w końcu stał się Kananejczykiem, podczas gdy Rachab, dla kontrastu, urodziła się Kananejczykiem, ale dzięki swojej wierze stała się w pewnym sensie Izraelitką. Nie przez urodzenie, ale przez wiarę. I tak Kaleb, Izraelita, stał się, że tak powiem, Kananejczykiem, przez swój brak wiary, swoje nieposłuszeństwo.</w:t>
      </w:r>
    </w:p>
    <w:p w14:paraId="3A068A6C" w14:textId="77777777" w:rsidR="00164ED3" w:rsidRPr="00B40D0E" w:rsidRDefault="00164ED3">
      <w:pPr>
        <w:rPr>
          <w:sz w:val="26"/>
          <w:szCs w:val="26"/>
        </w:rPr>
      </w:pPr>
    </w:p>
    <w:p w14:paraId="27F92707" w14:textId="77C3D950" w:rsidR="00164ED3" w:rsidRPr="00B40D0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40D0E">
        <w:rPr>
          <w:rFonts w:ascii="Calibri" w:eastAsia="Calibri" w:hAnsi="Calibri" w:cs="Calibri"/>
          <w:sz w:val="26"/>
          <w:szCs w:val="26"/>
        </w:rPr>
        <w:t xml:space="preserve">Rachab, Kananejczyk, została Izraelitką i dołączyła do rodziny wiary przez wiarę, a nie przez urodzenie. Jest to zatem interesujący kontrast w tych dwóch rozdziałach. To jest dr David Howard w swoim nauczaniu na temat ksiąg Jozuego poprzez Rut.</w:t>
      </w:r>
    </w:p>
    <w:p w14:paraId="1C5B108F" w14:textId="77777777" w:rsidR="00164ED3" w:rsidRPr="00B40D0E" w:rsidRDefault="00164ED3">
      <w:pPr>
        <w:rPr>
          <w:sz w:val="26"/>
          <w:szCs w:val="26"/>
        </w:rPr>
      </w:pPr>
    </w:p>
    <w:p w14:paraId="57C09134" w14:textId="77777777" w:rsidR="00B40D0E" w:rsidRPr="00B40D0E" w:rsidRDefault="00B40D0E" w:rsidP="00B40D0E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B40D0E">
        <w:rPr>
          <w:rFonts w:ascii="Calibri" w:eastAsia="Calibri" w:hAnsi="Calibri" w:cs="Calibri"/>
          <w:sz w:val="26"/>
          <w:szCs w:val="26"/>
        </w:rPr>
        <w:t xml:space="preserve">To jest dr David Howard w swoim nauczaniu na temat ksiąg Jozuego poprzez Rut. To jest sesja 10, Jozue 7, Rahab i Achan Excursus.</w:t>
      </w:r>
    </w:p>
    <w:p w14:paraId="6C970FB2" w14:textId="1F31E23A" w:rsidR="00164ED3" w:rsidRPr="00B40D0E" w:rsidRDefault="00164ED3" w:rsidP="00B40D0E">
      <w:pPr>
        <w:rPr>
          <w:sz w:val="26"/>
          <w:szCs w:val="26"/>
        </w:rPr>
      </w:pPr>
    </w:p>
    <w:sectPr w:rsidR="00164ED3" w:rsidRPr="00B40D0E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0058"/>
    <w:multiLevelType w:val="hybridMultilevel"/>
    <w:tmpl w:val="BF52673C"/>
    <w:lvl w:ilvl="0" w:tplc="CD0856A8">
      <w:start w:val="1"/>
      <w:numFmt w:val="bullet"/>
      <w:lvlText w:val="●"/>
      <w:lvlJc w:val="left"/>
      <w:pPr>
        <w:ind w:left="720" w:hanging="360"/>
      </w:pPr>
    </w:lvl>
    <w:lvl w:ilvl="1" w:tplc="E33627B4">
      <w:start w:val="1"/>
      <w:numFmt w:val="bullet"/>
      <w:lvlText w:val="○"/>
      <w:lvlJc w:val="left"/>
      <w:pPr>
        <w:ind w:left="1440" w:hanging="360"/>
      </w:pPr>
    </w:lvl>
    <w:lvl w:ilvl="2" w:tplc="8420477E">
      <w:start w:val="1"/>
      <w:numFmt w:val="bullet"/>
      <w:lvlText w:val="■"/>
      <w:lvlJc w:val="left"/>
      <w:pPr>
        <w:ind w:left="2160" w:hanging="360"/>
      </w:pPr>
    </w:lvl>
    <w:lvl w:ilvl="3" w:tplc="3E804390">
      <w:start w:val="1"/>
      <w:numFmt w:val="bullet"/>
      <w:lvlText w:val="●"/>
      <w:lvlJc w:val="left"/>
      <w:pPr>
        <w:ind w:left="2880" w:hanging="360"/>
      </w:pPr>
    </w:lvl>
    <w:lvl w:ilvl="4" w:tplc="78C0FC86">
      <w:start w:val="1"/>
      <w:numFmt w:val="bullet"/>
      <w:lvlText w:val="○"/>
      <w:lvlJc w:val="left"/>
      <w:pPr>
        <w:ind w:left="3600" w:hanging="360"/>
      </w:pPr>
    </w:lvl>
    <w:lvl w:ilvl="5" w:tplc="2BACAA62">
      <w:start w:val="1"/>
      <w:numFmt w:val="bullet"/>
      <w:lvlText w:val="■"/>
      <w:lvlJc w:val="left"/>
      <w:pPr>
        <w:ind w:left="4320" w:hanging="360"/>
      </w:pPr>
    </w:lvl>
    <w:lvl w:ilvl="6" w:tplc="FD3EE876">
      <w:start w:val="1"/>
      <w:numFmt w:val="bullet"/>
      <w:lvlText w:val="●"/>
      <w:lvlJc w:val="left"/>
      <w:pPr>
        <w:ind w:left="5040" w:hanging="360"/>
      </w:pPr>
    </w:lvl>
    <w:lvl w:ilvl="7" w:tplc="9D1CD57E">
      <w:start w:val="1"/>
      <w:numFmt w:val="bullet"/>
      <w:lvlText w:val="●"/>
      <w:lvlJc w:val="left"/>
      <w:pPr>
        <w:ind w:left="5760" w:hanging="360"/>
      </w:pPr>
    </w:lvl>
    <w:lvl w:ilvl="8" w:tplc="F920E2E0">
      <w:start w:val="1"/>
      <w:numFmt w:val="bullet"/>
      <w:lvlText w:val="●"/>
      <w:lvlJc w:val="left"/>
      <w:pPr>
        <w:ind w:left="6480" w:hanging="360"/>
      </w:pPr>
    </w:lvl>
  </w:abstractNum>
  <w:num w:numId="1" w16cid:durableId="2209624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ED3"/>
    <w:rsid w:val="00164ED3"/>
    <w:rsid w:val="00B4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086C77"/>
  <w15:docId w15:val="{6A50AE1D-729A-4DDE-8D7C-93D92449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1376</Characters>
  <Application>Microsoft Office Word</Application>
  <DocSecurity>0</DocSecurity>
  <Lines>31</Lines>
  <Paragraphs>10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Howard Josh Ruth Session10 Ruth Achan</dc:title>
  <dc:creator>TurboScribe.ai</dc:creator>
  <cp:lastModifiedBy>Ted Hildebrandt</cp:lastModifiedBy>
  <cp:revision>2</cp:revision>
  <dcterms:created xsi:type="dcterms:W3CDTF">2024-02-04T20:10:00Z</dcterms:created>
  <dcterms:modified xsi:type="dcterms:W3CDTF">2024-02-29T14:09:00Z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4c9fff9f031130ad7bd4978decb8bb08c5de4a44d67534f0882bf5cbaf581bf3</vt:lpwstr>
  </property>
</Properties>
</file>