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0879" w14:textId="77777777" w:rsidR="00FB2F32" w:rsidRPr="00FB2F32" w:rsidRDefault="00FB2F32" w:rsidP="00FB2F3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B2F32">
        <w:rPr>
          <w:rFonts w:ascii="Calibri" w:eastAsia="Calibri" w:hAnsi="Calibri" w:cs="Calibri"/>
          <w:b/>
          <w:bCs/>
          <w:sz w:val="40"/>
          <w:szCs w:val="40"/>
        </w:rPr>
        <w:t xml:space="preserve">Dr David Howard, Joshua-Ruth, sesja 3,</w:t>
      </w:r>
    </w:p>
    <w:p w14:paraId="5D374AAE" w14:textId="0FE312B4" w:rsidR="004065EF" w:rsidRPr="00FB2F32" w:rsidRDefault="00000000" w:rsidP="00FB2F3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B2F32">
        <w:rPr>
          <w:rFonts w:ascii="Calibri" w:eastAsia="Calibri" w:hAnsi="Calibri" w:cs="Calibri"/>
          <w:b/>
          <w:bCs/>
          <w:sz w:val="40"/>
          <w:szCs w:val="40"/>
        </w:rPr>
        <w:t xml:space="preserve">Wprowadzenie Część 3</w:t>
      </w:r>
    </w:p>
    <w:p w14:paraId="6B3C2B95" w14:textId="296C113C" w:rsidR="00FB2F32" w:rsidRPr="00FB2F32" w:rsidRDefault="00FB2F32" w:rsidP="00FB2F3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B2F3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2024 David Howard i Ted Hildebrandt</w:t>
      </w:r>
    </w:p>
    <w:p w14:paraId="2C1D01A2" w14:textId="77777777" w:rsidR="00FB2F32" w:rsidRPr="00FB2F32" w:rsidRDefault="00FB2F32">
      <w:pPr>
        <w:rPr>
          <w:sz w:val="26"/>
          <w:szCs w:val="26"/>
        </w:rPr>
      </w:pPr>
    </w:p>
    <w:p w14:paraId="71916A9E" w14:textId="54455322" w:rsidR="00FB2F3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To jest dr David Howard w swoim nauczaniu o Jozue poprzez Rut. To jest sesja 3, Wprowadzenie do Jozuego, część 3, Kontekst literacki.</w:t>
      </w:r>
    </w:p>
    <w:p w14:paraId="05E37513" w14:textId="77777777" w:rsidR="00FB2F32" w:rsidRDefault="00FB2F32">
      <w:pPr>
        <w:rPr>
          <w:rFonts w:ascii="Calibri" w:eastAsia="Calibri" w:hAnsi="Calibri" w:cs="Calibri"/>
          <w:sz w:val="26"/>
          <w:szCs w:val="26"/>
        </w:rPr>
      </w:pPr>
    </w:p>
    <w:p w14:paraId="2D38CCBB" w14:textId="46DE003C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W tej części chcę porozmawiać o tym, co nazwałbym kontekstem literackim Księgi Jozuego.</w:t>
      </w:r>
    </w:p>
    <w:p w14:paraId="7712DB67" w14:textId="77777777" w:rsidR="004065EF" w:rsidRPr="00FB2F32" w:rsidRDefault="004065EF">
      <w:pPr>
        <w:rPr>
          <w:sz w:val="26"/>
          <w:szCs w:val="26"/>
        </w:rPr>
      </w:pPr>
    </w:p>
    <w:p w14:paraId="2977E479" w14:textId="1D0F944B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Rozmawialiśmy w innym fragmencie o kontekście historycznym i geograficznym, ale Księga Jozuego nie odnosi się tylko do wydarzeń, miejsc i ludzi, którzy wydarzyli się w czasie rzeczywistym, przestrzeni i historii, ale jest także kompozycją literacką. Jest to księga słów napisana przez kogoś w określonym celu. Zamiar, o którym mówiliśmy w innym fragmencie, jest taki, że Bożym darem w postaci ziemi obiecanej jest lud Izraela i tak dalej.</w:t>
      </w:r>
    </w:p>
    <w:p w14:paraId="7784B8B7" w14:textId="77777777" w:rsidR="004065EF" w:rsidRPr="00FB2F32" w:rsidRDefault="004065EF">
      <w:pPr>
        <w:rPr>
          <w:sz w:val="26"/>
          <w:szCs w:val="26"/>
        </w:rPr>
      </w:pPr>
    </w:p>
    <w:p w14:paraId="39AF3E9D" w14:textId="3403CAB9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Ale pomyślmy teraz o Księdze Jozuego w jej kontekście literackim, a mianowicie w miejscu w kanonie, miejscu w Starym Testamencie, gdzie się ona pojawia. Tradycyjnie więc mamy pięć pierwszych ksiąg Biblii: Rodzaju, Wyjścia, Kapłańskiej, Liczb i Powtórzonego Prawa, które nazywamy Pięcioksięgiem. Podział jest tutaj i logika za tym stoi, czasami nazywane są księgami Mojżesza, a dzieje się tak dlatego, że Mojżesz był głównym autorem tych ksiąg.</w:t>
      </w:r>
    </w:p>
    <w:p w14:paraId="1301E9E0" w14:textId="77777777" w:rsidR="004065EF" w:rsidRPr="00FB2F32" w:rsidRDefault="004065EF">
      <w:pPr>
        <w:rPr>
          <w:sz w:val="26"/>
          <w:szCs w:val="26"/>
        </w:rPr>
      </w:pPr>
    </w:p>
    <w:p w14:paraId="4B75EBE0" w14:textId="77777777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Mojżesz umiera pod koniec Księgi Powtórzonego Prawa, jest to więc logiczny podział większej części Biblii. Następnie, zgodnie z tradycją protestancką, zwykle mówimy o księgach historycznych, od Jozuego aż do 2 Królów, a nawet przez całą Księgę Kronik jako Nehemiasz Estera. Nie do końca podoba mi się to określenie, bo mogłoby sugerować, że inne części nie mają charakteru historycznego.</w:t>
      </w:r>
    </w:p>
    <w:p w14:paraId="05E6BE61" w14:textId="77777777" w:rsidR="004065EF" w:rsidRPr="00FB2F32" w:rsidRDefault="004065EF">
      <w:pPr>
        <w:rPr>
          <w:sz w:val="26"/>
          <w:szCs w:val="26"/>
        </w:rPr>
      </w:pPr>
    </w:p>
    <w:p w14:paraId="00224617" w14:textId="572145E2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Powiedziałbym, że fabuła Księgi Jozuego nawiązuje do fabuły Księgi Liczb, Księgi Wyjścia i Księgi Rodzaju, a zatem będą one historyczne również w tym sensie, czyli sekcje narracyjne. Ale to określenie dla wygody. Opowiada historię, kiedy Izrael wkroczył do tej ziemi, a jeśli pójdziesz do Królów, 2 Królów, to właśnie tam Izrael zostanie zabrany z tej ziemi.</w:t>
      </w:r>
    </w:p>
    <w:p w14:paraId="3DE79255" w14:textId="77777777" w:rsidR="004065EF" w:rsidRPr="00FB2F32" w:rsidRDefault="004065EF">
      <w:pPr>
        <w:rPr>
          <w:sz w:val="26"/>
          <w:szCs w:val="26"/>
        </w:rPr>
      </w:pPr>
    </w:p>
    <w:p w14:paraId="77E5A6A3" w14:textId="24382E78" w:rsidR="004065EF" w:rsidRPr="00FB2F32" w:rsidRDefault="0036649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A więc jest to mniej więcej 400 lat, albo więcej niż 400, może 800 albo 900 lat życia Izraela na tej ziemi. W tradycji żydowskiej są to zwani dawni prorocy, Jozue, Sędziowie, 1 Księga Samuela i 1 Księga Królewska. I nie są prorokami w tym samym sensie, w jakim są Izajasz, Jeremiasz, Ezechiel i inni, ale w tym sensie, że prorocy są ludźmi, którzy wypowiadają słowa od Boga, rzecznikami Boga, jak Izajasz i inni mówili na ulicach Jerozolimy lub w Samarii.</w:t>
      </w:r>
    </w:p>
    <w:p w14:paraId="4036A8AF" w14:textId="77777777" w:rsidR="004065EF" w:rsidRPr="00FB2F32" w:rsidRDefault="004065EF">
      <w:pPr>
        <w:rPr>
          <w:sz w:val="26"/>
          <w:szCs w:val="26"/>
        </w:rPr>
      </w:pPr>
    </w:p>
    <w:p w14:paraId="0BF229F4" w14:textId="4D44C36F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Autorzy tych ksiąg przekazują słowa od Boga w inny sposób. Zapisują wydarzenia i interpretują je oczami Boga. </w:t>
      </w:r>
      <w:r xmlns:w="http://schemas.openxmlformats.org/wordprocessingml/2006/main" w:rsidR="00366490" w:rsidRPr="00FB2F32">
        <w:rPr>
          <w:rFonts w:ascii="Calibri" w:eastAsia="Calibri" w:hAnsi="Calibri" w:cs="Calibri"/>
          <w:sz w:val="26"/>
          <w:szCs w:val="26"/>
        </w:rPr>
        <w:t xml:space="preserve">W tym sensie można ich nazwać prorokami.</w:t>
      </w:r>
    </w:p>
    <w:p w14:paraId="64402A17" w14:textId="77777777" w:rsidR="004065EF" w:rsidRPr="00FB2F32" w:rsidRDefault="004065EF">
      <w:pPr>
        <w:rPr>
          <w:sz w:val="26"/>
          <w:szCs w:val="26"/>
        </w:rPr>
      </w:pPr>
    </w:p>
    <w:p w14:paraId="0C9B93E4" w14:textId="61C9BF7E" w:rsidR="004065EF" w:rsidRPr="00FB2F32" w:rsidRDefault="0036649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Zatem księga Jozuego jest głową ksiąg historycznych, pierwszą księgą życia w tej ziemi. Jeśli zagłębisz się w literaturę Starego Testamentu, natkniesz się na teorie kompozycji, które mogą się od nich nieco różnić. Jedną z głównych teorii, która przyjęła się kilka wieków temu, w XX wieku, była teoria, że historia z Księgi Rodzaju tak naprawdę nie kończyła się na Księdze Powtórzonego Prawa, ale na Jozuem.</w:t>
      </w:r>
    </w:p>
    <w:p w14:paraId="47855C02" w14:textId="77777777" w:rsidR="004065EF" w:rsidRPr="00FB2F32" w:rsidRDefault="004065EF">
      <w:pPr>
        <w:rPr>
          <w:sz w:val="26"/>
          <w:szCs w:val="26"/>
        </w:rPr>
      </w:pPr>
    </w:p>
    <w:p w14:paraId="62278BD2" w14:textId="79BD9E4F" w:rsidR="004065EF" w:rsidRPr="00FB2F32" w:rsidRDefault="0036649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Powinniśmy pomyśleć o czymś zwanym Hexateuch. Nazwa Pięcioksięgu wzięła się od słowa penta oznaczającego pięć. Tak więc w pierwszych pięciu książkach myślimy o pięciokącie jako o obiekcie pięciobocznym. Sześciokąt to sześcioboczna struktura geometryczna.</w:t>
      </w:r>
    </w:p>
    <w:p w14:paraId="222BE1FD" w14:textId="77777777" w:rsidR="004065EF" w:rsidRPr="00FB2F32" w:rsidRDefault="004065EF">
      <w:pPr>
        <w:rPr>
          <w:sz w:val="26"/>
          <w:szCs w:val="26"/>
        </w:rPr>
      </w:pPr>
    </w:p>
    <w:p w14:paraId="08897391" w14:textId="6DD3299C" w:rsidR="004065EF" w:rsidRPr="00FB2F32" w:rsidRDefault="0036649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Zatem Heksateuch byłby pierwszymi sześcioma księgami Starego Testamentu. Uczeni wymyślili tę teorię pod koniec XIX i na początku XX wieku, myśląc, że nie, Mojżesz nie był autorem Pięcioksięgu, ale ktoś o tym pisał znacznie później i wątki, które przewijały się przez wszystkie te księgi, kończyły się na Jozue. Jest w tym pewna logika, ponieważ w Joshuy jest wiele elementów, które patrzą wstecz, gdy spełnienie obietnic i fabuła dobiegną końca.</w:t>
      </w:r>
    </w:p>
    <w:p w14:paraId="1C232E30" w14:textId="77777777" w:rsidR="004065EF" w:rsidRPr="00FB2F32" w:rsidRDefault="004065EF">
      <w:pPr>
        <w:rPr>
          <w:sz w:val="26"/>
          <w:szCs w:val="26"/>
        </w:rPr>
      </w:pPr>
    </w:p>
    <w:p w14:paraId="0CAF96DF" w14:textId="14119B92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Ruch w Pięcioksięgu jest zawsze skierowany w przyszłość. Bóg obiecuje tę ziemię Abrahamowi i wkrótce po upływie kilkudziesięciu lat jego potomków nie ma już w tej ziemi. Są w Egipcie.</w:t>
      </w:r>
    </w:p>
    <w:p w14:paraId="473B9BAA" w14:textId="77777777" w:rsidR="004065EF" w:rsidRPr="00FB2F32" w:rsidRDefault="004065EF">
      <w:pPr>
        <w:rPr>
          <w:sz w:val="26"/>
          <w:szCs w:val="26"/>
        </w:rPr>
      </w:pPr>
    </w:p>
    <w:p w14:paraId="54CF9A81" w14:textId="0E0FD6EC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A potem dalsza część Księgi Wyjścia zmierza w stronę ziemi obiecanej. Księga Liczb wędruje przez pustynię w stronę ziemi obiecanej. Zatem zawsze jest ruch do przodu.</w:t>
      </w:r>
    </w:p>
    <w:p w14:paraId="3B672739" w14:textId="77777777" w:rsidR="004065EF" w:rsidRPr="00FB2F32" w:rsidRDefault="004065EF">
      <w:pPr>
        <w:rPr>
          <w:sz w:val="26"/>
          <w:szCs w:val="26"/>
        </w:rPr>
      </w:pPr>
    </w:p>
    <w:p w14:paraId="7F587FCF" w14:textId="01A49134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Na końcu każdej księgi Pięcioksięgu znajdujemy tego rodzaju spojrzenie w przyszłość. Pod koniec Księgi Rodzaju przebywają na wygnaniu w Egipcie i chcą wrócić do kraju. Exodus, to samo.</w:t>
      </w:r>
    </w:p>
    <w:p w14:paraId="012C1AB2" w14:textId="77777777" w:rsidR="004065EF" w:rsidRPr="00FB2F32" w:rsidRDefault="004065EF">
      <w:pPr>
        <w:rPr>
          <w:sz w:val="26"/>
          <w:szCs w:val="26"/>
        </w:rPr>
      </w:pPr>
    </w:p>
    <w:p w14:paraId="1408C0C2" w14:textId="4911BF27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Chcą wrócić na ziemię i tak dalej. Zatem wszystkie te książki, te pięć książek, patrzą w przyszłość. Wypełnienie tego znajdujemy w Księdze Jozuego.</w:t>
      </w:r>
    </w:p>
    <w:p w14:paraId="2ED79EC2" w14:textId="77777777" w:rsidR="004065EF" w:rsidRPr="00FB2F32" w:rsidRDefault="004065EF">
      <w:pPr>
        <w:rPr>
          <w:sz w:val="26"/>
          <w:szCs w:val="26"/>
        </w:rPr>
      </w:pPr>
    </w:p>
    <w:p w14:paraId="20F23402" w14:textId="198ECEC6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I w Księdze Jozuego jest pewne poczucie, że jesteśmy tutaj. Wreszcie, po tych wszystkich wiekach, obietnice się spełniają, jesteśmy na ziemi i życie jest dobre. Można więc odnieść wrażenie, że Księga Jozuego wspomina to wszystko z uznaniem.</w:t>
      </w:r>
    </w:p>
    <w:p w14:paraId="06C2036A" w14:textId="77777777" w:rsidR="004065EF" w:rsidRPr="00FB2F32" w:rsidRDefault="004065EF">
      <w:pPr>
        <w:rPr>
          <w:sz w:val="26"/>
          <w:szCs w:val="26"/>
        </w:rPr>
      </w:pPr>
    </w:p>
    <w:p w14:paraId="5C09AAB2" w14:textId="750FE59B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Życie jest teraz dobre. W Księdze Jozuego jest stabilizacja, której nie znajdziesz w większości innych ksiąg. Zatem prawdą jest, że ta książka spogląda wstecz.</w:t>
      </w:r>
    </w:p>
    <w:p w14:paraId="79E66529" w14:textId="77777777" w:rsidR="004065EF" w:rsidRPr="00FB2F32" w:rsidRDefault="004065EF">
      <w:pPr>
        <w:rPr>
          <w:sz w:val="26"/>
          <w:szCs w:val="26"/>
        </w:rPr>
      </w:pPr>
    </w:p>
    <w:p w14:paraId="16C3CD09" w14:textId="12E4D316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Jednak teoria ta ignoruje tradycyjne rozumienie Pięcioksięgu jako pochodzącego spod pióra Mojżesza lub większości Pięcioksięgu pochodzącego spod pióra Mojżesza. Tak więc w 1943 roku niemiecki uczony Martin Noth zaproponował inną teorię. Zaproponował teorię zwaną historią deuteronomistyczną.</w:t>
      </w:r>
    </w:p>
    <w:p w14:paraId="709D7E8D" w14:textId="77777777" w:rsidR="004065EF" w:rsidRPr="00FB2F32" w:rsidRDefault="004065EF">
      <w:pPr>
        <w:rPr>
          <w:sz w:val="26"/>
          <w:szCs w:val="26"/>
        </w:rPr>
      </w:pPr>
    </w:p>
    <w:p w14:paraId="650CCE79" w14:textId="703869ED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I Noth nie uważał, że punkt końcowy powinien znajdować się tutaj. A Księgę Powtórzonego Prawa należy rozumieć jako głowę wszystkich tych ksiąg. Jest oczywiste, że Księga Powtórzonego Prawa wybiega daleko w przyszłość, na życie w tej ziemi, na instrukcje Mojżesza pod koniec jego życia, na to, jak powinni żyć i tak dalej.</w:t>
      </w:r>
    </w:p>
    <w:p w14:paraId="3759DD7C" w14:textId="77777777" w:rsidR="004065EF" w:rsidRPr="00FB2F32" w:rsidRDefault="004065EF">
      <w:pPr>
        <w:rPr>
          <w:sz w:val="26"/>
          <w:szCs w:val="26"/>
        </w:rPr>
      </w:pPr>
    </w:p>
    <w:p w14:paraId="0D92BC9C" w14:textId="010E00C3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I że w księgach Jozuego, Sędziów, Samuela i Królów można znaleźć tematy, które po raz pierwszy zostały wyrażone w Księdze Powtórzonego Prawa. Zatem Noth argumentował, że Księga Królewska kończy się zniszczeniem Jerozolimy i uwolnieniem Jehojachina z więzienia w roku 561, setki lat później. I tak Martin Noth argumentował, że cały zbiór tych wszystkich wielkich ksiąg został napisany podczas wygnania po upadku Jerozolimy.</w:t>
      </w:r>
    </w:p>
    <w:p w14:paraId="515A68FD" w14:textId="77777777" w:rsidR="004065EF" w:rsidRPr="00FB2F32" w:rsidRDefault="004065EF">
      <w:pPr>
        <w:rPr>
          <w:sz w:val="26"/>
          <w:szCs w:val="26"/>
        </w:rPr>
      </w:pPr>
    </w:p>
    <w:p w14:paraId="147A9438" w14:textId="36151D50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Być może fragmenty zostały napisane wcześniej, ale wszystko to składa się na jedną wielką kompozycję zwaną Historią Deuteronomistyczną. I znowu zgodziłbym się, że wiele z tego, co argumentował Noth, ma sens. Ponieważ tak, Księga Powtórzonego Prawa rzeczywiście patrzy w przyszłość.</w:t>
      </w:r>
    </w:p>
    <w:p w14:paraId="3D94E7CF" w14:textId="77777777" w:rsidR="004065EF" w:rsidRPr="00FB2F32" w:rsidRDefault="004065EF">
      <w:pPr>
        <w:rPr>
          <w:sz w:val="26"/>
          <w:szCs w:val="26"/>
        </w:rPr>
      </w:pPr>
    </w:p>
    <w:p w14:paraId="148DC446" w14:textId="360B3ED6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Wiele rzeczy związanych z posłuszeństwem, Bożymi obietnicami i tak dalej, które są wspomniane w Księdze Powtórzonego Prawa, spełnia się w tych księgach. Nawet niektóre powody upadku Samarii i Jerozolimy opisane w 2 Księdze Królewskiej przypominają ostrzeżenia z Księgi Powtórzonego Prawa. Zatem wyraźnie widać ten wątek i tę jedność tematu.</w:t>
      </w:r>
    </w:p>
    <w:p w14:paraId="1DAF5D44" w14:textId="77777777" w:rsidR="004065EF" w:rsidRPr="00FB2F32" w:rsidRDefault="004065EF">
      <w:pPr>
        <w:rPr>
          <w:sz w:val="26"/>
          <w:szCs w:val="26"/>
        </w:rPr>
      </w:pPr>
    </w:p>
    <w:p w14:paraId="6B99B724" w14:textId="77777777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Stwierdzenie jedności tematu to jedno. Inną rzeczą jest stwierdzenie, że istnieje jedność autorstwa. I nie zgodziłbym się z teorią Note'a, że to wszystko zostało napisane na wygnaniu.</w:t>
      </w:r>
    </w:p>
    <w:p w14:paraId="0313DE30" w14:textId="77777777" w:rsidR="004065EF" w:rsidRPr="00FB2F32" w:rsidRDefault="004065EF">
      <w:pPr>
        <w:rPr>
          <w:sz w:val="26"/>
          <w:szCs w:val="26"/>
        </w:rPr>
      </w:pPr>
    </w:p>
    <w:p w14:paraId="2C3F7F87" w14:textId="77777777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Ponownie chciałbym potwierdzić tradycyjną perspektywę, że Pięcioksiąg był w istocie mozaiką. Celem tego jest jednak pokazanie kontekstu Księgi Jozuego jako księgi na zawiasach. W pewnym sensie zarówno Księga Powtórzonego Prawa, jak i Księga Jozuego są księgami na zawiasach.</w:t>
      </w:r>
    </w:p>
    <w:p w14:paraId="1B0C1858" w14:textId="77777777" w:rsidR="004065EF" w:rsidRPr="00FB2F32" w:rsidRDefault="004065EF">
      <w:pPr>
        <w:rPr>
          <w:sz w:val="26"/>
          <w:szCs w:val="26"/>
        </w:rPr>
      </w:pPr>
    </w:p>
    <w:p w14:paraId="3A0E9839" w14:textId="77777777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Ponieważ Księga Powtórzonego Prawa składa się z końcowych przemówień Mojżesza, w których spogląda wstecz na swoje życie z Izraelem i mówi: Oto jak Bóg był nam wierny przez pokolenia, od Abrahama, a szczególnie dla nas przez te ostatnie 40 lat. Oto jak Bóg był z nami w Egipcie i na pustyni i tak dalej. I to jest spojrzenie wstecz w Księdze Powtórzonego Prawa.</w:t>
      </w:r>
    </w:p>
    <w:p w14:paraId="5CF29BA5" w14:textId="77777777" w:rsidR="004065EF" w:rsidRPr="00FB2F32" w:rsidRDefault="004065EF">
      <w:pPr>
        <w:rPr>
          <w:sz w:val="26"/>
          <w:szCs w:val="26"/>
        </w:rPr>
      </w:pPr>
    </w:p>
    <w:p w14:paraId="6249FA15" w14:textId="21DC3F38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Ale patrzy w przyszłość, ponieważ Mojżesz mówi: „Teraz zejdę ze sceny”. Wejdziesz do ziemi obiecanej i oto rzeczy, o których musisz pamiętać. Częścią Księgi Powtórzonego Prawa jest powtórzenie praw podanych 40 lat wcześniej.</w:t>
      </w:r>
    </w:p>
    <w:p w14:paraId="4B0BDC1B" w14:textId="77777777" w:rsidR="004065EF" w:rsidRPr="00FB2F32" w:rsidRDefault="004065EF">
      <w:pPr>
        <w:rPr>
          <w:sz w:val="26"/>
          <w:szCs w:val="26"/>
        </w:rPr>
      </w:pPr>
    </w:p>
    <w:p w14:paraId="2107E7E7" w14:textId="77777777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Już sama nazwa księgi Powtórzonego Prawa pochodzi od słów Deutero i Nomos, co oznacza drugie prawo. Prawo zostało pierwotnie dane pierwszemu pokoleniu na górze Synaj. Ci ludzie wymarli na pustyni i teraz Mojżesz przemawiał do drugiego pokolenia.</w:t>
      </w:r>
    </w:p>
    <w:p w14:paraId="47585891" w14:textId="77777777" w:rsidR="004065EF" w:rsidRPr="00FB2F32" w:rsidRDefault="004065EF">
      <w:pPr>
        <w:rPr>
          <w:sz w:val="26"/>
          <w:szCs w:val="26"/>
        </w:rPr>
      </w:pPr>
    </w:p>
    <w:p w14:paraId="234A8FBD" w14:textId="705970ED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Zatem znowu patrzymy wstecz, ale także patrzymy w przyszłość. Jozue, to samo. Patrzy wstecz i mówi: to jest spełnienie obietnic.</w:t>
      </w:r>
    </w:p>
    <w:p w14:paraId="7E79100F" w14:textId="77777777" w:rsidR="004065EF" w:rsidRPr="00FB2F32" w:rsidRDefault="004065EF">
      <w:pPr>
        <w:rPr>
          <w:sz w:val="26"/>
          <w:szCs w:val="26"/>
        </w:rPr>
      </w:pPr>
    </w:p>
    <w:p w14:paraId="056A1DD1" w14:textId="042C4573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A jednak jest też sposób, w jaki Jozue patrzy w przyszłość jak na pierwszą księgę, w której Izrael żył aż do końca 2 Królów, kiedy Izrael został zabrany z ziemi. Zatem Księga Jozuego to taka, która spogląda wstecz i do przodu w zakresie tych ksiąg tutaj. Myślę, że warto pamiętać o tej perspektywie.</w:t>
      </w:r>
    </w:p>
    <w:p w14:paraId="530692E5" w14:textId="77777777" w:rsidR="004065EF" w:rsidRPr="00FB2F32" w:rsidRDefault="004065EF">
      <w:pPr>
        <w:rPr>
          <w:sz w:val="26"/>
          <w:szCs w:val="26"/>
        </w:rPr>
      </w:pPr>
    </w:p>
    <w:p w14:paraId="3E3E4F55" w14:textId="1620D56D" w:rsidR="004065EF" w:rsidRPr="00FB2F3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B2F32">
        <w:rPr>
          <w:rFonts w:ascii="Calibri" w:eastAsia="Calibri" w:hAnsi="Calibri" w:cs="Calibri"/>
          <w:sz w:val="26"/>
          <w:szCs w:val="26"/>
        </w:rPr>
        <w:t xml:space="preserve">To jest dr David Howard w swoim nauczaniu o Jozue poprzez Rut. To jest sesja 3, Wprowadzenie do Jozuego, część 3, Kontekst literacki.</w:t>
      </w:r>
    </w:p>
    <w:sectPr w:rsidR="004065EF" w:rsidRPr="00FB2F3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4E29" w14:textId="77777777" w:rsidR="00DE7F4E" w:rsidRDefault="00DE7F4E" w:rsidP="00FB2F32">
      <w:r>
        <w:separator/>
      </w:r>
    </w:p>
  </w:endnote>
  <w:endnote w:type="continuationSeparator" w:id="0">
    <w:p w14:paraId="52F4EFC0" w14:textId="77777777" w:rsidR="00DE7F4E" w:rsidRDefault="00DE7F4E" w:rsidP="00FB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A34A" w14:textId="77777777" w:rsidR="00DE7F4E" w:rsidRDefault="00DE7F4E" w:rsidP="00FB2F32">
      <w:r>
        <w:separator/>
      </w:r>
    </w:p>
  </w:footnote>
  <w:footnote w:type="continuationSeparator" w:id="0">
    <w:p w14:paraId="40BCB098" w14:textId="77777777" w:rsidR="00DE7F4E" w:rsidRDefault="00DE7F4E" w:rsidP="00FB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6173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17E358" w14:textId="21910FFA" w:rsidR="00FB2F32" w:rsidRDefault="00FB2F3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361EBB6" w14:textId="77777777" w:rsidR="00FB2F32" w:rsidRDefault="00FB2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E3540"/>
    <w:multiLevelType w:val="hybridMultilevel"/>
    <w:tmpl w:val="3FD8CA50"/>
    <w:lvl w:ilvl="0" w:tplc="F1C00690">
      <w:start w:val="1"/>
      <w:numFmt w:val="bullet"/>
      <w:lvlText w:val="●"/>
      <w:lvlJc w:val="left"/>
      <w:pPr>
        <w:ind w:left="720" w:hanging="360"/>
      </w:pPr>
    </w:lvl>
    <w:lvl w:ilvl="1" w:tplc="0CB28E9E">
      <w:start w:val="1"/>
      <w:numFmt w:val="bullet"/>
      <w:lvlText w:val="○"/>
      <w:lvlJc w:val="left"/>
      <w:pPr>
        <w:ind w:left="1440" w:hanging="360"/>
      </w:pPr>
    </w:lvl>
    <w:lvl w:ilvl="2" w:tplc="D0640D38">
      <w:start w:val="1"/>
      <w:numFmt w:val="bullet"/>
      <w:lvlText w:val="■"/>
      <w:lvlJc w:val="left"/>
      <w:pPr>
        <w:ind w:left="2160" w:hanging="360"/>
      </w:pPr>
    </w:lvl>
    <w:lvl w:ilvl="3" w:tplc="74206CA6">
      <w:start w:val="1"/>
      <w:numFmt w:val="bullet"/>
      <w:lvlText w:val="●"/>
      <w:lvlJc w:val="left"/>
      <w:pPr>
        <w:ind w:left="2880" w:hanging="360"/>
      </w:pPr>
    </w:lvl>
    <w:lvl w:ilvl="4" w:tplc="9014EFFE">
      <w:start w:val="1"/>
      <w:numFmt w:val="bullet"/>
      <w:lvlText w:val="○"/>
      <w:lvlJc w:val="left"/>
      <w:pPr>
        <w:ind w:left="3600" w:hanging="360"/>
      </w:pPr>
    </w:lvl>
    <w:lvl w:ilvl="5" w:tplc="92C05270">
      <w:start w:val="1"/>
      <w:numFmt w:val="bullet"/>
      <w:lvlText w:val="■"/>
      <w:lvlJc w:val="left"/>
      <w:pPr>
        <w:ind w:left="4320" w:hanging="360"/>
      </w:pPr>
    </w:lvl>
    <w:lvl w:ilvl="6" w:tplc="11D81126">
      <w:start w:val="1"/>
      <w:numFmt w:val="bullet"/>
      <w:lvlText w:val="●"/>
      <w:lvlJc w:val="left"/>
      <w:pPr>
        <w:ind w:left="5040" w:hanging="360"/>
      </w:pPr>
    </w:lvl>
    <w:lvl w:ilvl="7" w:tplc="47F4EFCE">
      <w:start w:val="1"/>
      <w:numFmt w:val="bullet"/>
      <w:lvlText w:val="●"/>
      <w:lvlJc w:val="left"/>
      <w:pPr>
        <w:ind w:left="5760" w:hanging="360"/>
      </w:pPr>
    </w:lvl>
    <w:lvl w:ilvl="8" w:tplc="45682BA2">
      <w:start w:val="1"/>
      <w:numFmt w:val="bullet"/>
      <w:lvlText w:val="●"/>
      <w:lvlJc w:val="left"/>
      <w:pPr>
        <w:ind w:left="6480" w:hanging="360"/>
      </w:pPr>
    </w:lvl>
  </w:abstractNum>
  <w:num w:numId="1" w16cid:durableId="4046866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EF"/>
    <w:rsid w:val="00190C46"/>
    <w:rsid w:val="00366490"/>
    <w:rsid w:val="004065EF"/>
    <w:rsid w:val="004C5FFF"/>
    <w:rsid w:val="00CA0F81"/>
    <w:rsid w:val="00DE7F4E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AA993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2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F32"/>
  </w:style>
  <w:style w:type="paragraph" w:styleId="Footer">
    <w:name w:val="footer"/>
    <w:basedOn w:val="Normal"/>
    <w:link w:val="FooterChar"/>
    <w:uiPriority w:val="99"/>
    <w:unhideWhenUsed/>
    <w:rsid w:val="00FB2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1527</Words>
  <Characters>6944</Characters>
  <Application>Microsoft Office Word</Application>
  <DocSecurity>0</DocSecurity>
  <Lines>146</Lines>
  <Paragraphs>33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Session03 IntroPt3</dc:title>
  <dc:creator>TurboScribe.ai</dc:creator>
  <cp:lastModifiedBy>Ted Hildebrandt</cp:lastModifiedBy>
  <cp:revision>10</cp:revision>
  <dcterms:created xsi:type="dcterms:W3CDTF">2024-02-04T20:10:00Z</dcterms:created>
  <dcterms:modified xsi:type="dcterms:W3CDTF">2024-02-29T11:01:00Z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5141dc4bc1851850d2475b5c9b9ab9efbb96182590f248694d2fee5897b8432f</vt:lpwstr>
  </property>
</Properties>
</file>