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37F6" w14:textId="219A0541" w:rsidR="002657F6" w:rsidRPr="00420769" w:rsidRDefault="00420769" w:rsidP="0042076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20769">
        <w:rPr>
          <w:rFonts w:ascii="Calibri" w:eastAsia="Calibri" w:hAnsi="Calibri" w:cs="Calibri"/>
          <w:b/>
          <w:bCs/>
          <w:sz w:val="40"/>
          <w:szCs w:val="40"/>
        </w:rPr>
        <w:t xml:space="preserve">Knut Heim, Provérbios, Palestra 5 </w:t>
      </w:r>
      <w:r xmlns:w="http://schemas.openxmlformats.org/wordprocessingml/2006/main" w:rsidRPr="00420769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20769">
        <w:rPr>
          <w:rFonts w:ascii="Calibri" w:eastAsia="Calibri" w:hAnsi="Calibri" w:cs="Calibri"/>
          <w:b/>
          <w:bCs/>
          <w:sz w:val="40"/>
          <w:szCs w:val="40"/>
        </w:rPr>
        <w:t xml:space="preserve">Destaques de Provérbios 1-9</w:t>
      </w:r>
    </w:p>
    <w:p w14:paraId="1990BE8C" w14:textId="65DF7F56" w:rsidR="00420769" w:rsidRPr="00420769" w:rsidRDefault="00420769" w:rsidP="0042076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2076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2024 Knut Heim e Ted Hildebrandt</w:t>
      </w:r>
    </w:p>
    <w:p w14:paraId="0727CF9A" w14:textId="77777777" w:rsidR="00420769" w:rsidRPr="00420769" w:rsidRDefault="00420769">
      <w:pPr>
        <w:rPr>
          <w:sz w:val="26"/>
          <w:szCs w:val="26"/>
        </w:rPr>
      </w:pPr>
    </w:p>
    <w:p w14:paraId="39C93243" w14:textId="28EE5FE1" w:rsidR="00420769" w:rsidRPr="0042076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Este é o Dr. Knut Heim em seu ensinamento sobre o livro de Provérbios. Esta é a sessão número cinco, Destaques de Provérbios 1-9.</w:t>
      </w:r>
    </w:p>
    <w:p w14:paraId="0BF710BA" w14:textId="77777777" w:rsidR="00420769" w:rsidRPr="00420769" w:rsidRDefault="00420769">
      <w:pPr>
        <w:rPr>
          <w:rFonts w:ascii="Calibri" w:eastAsia="Calibri" w:hAnsi="Calibri" w:cs="Calibri"/>
          <w:sz w:val="26"/>
          <w:szCs w:val="26"/>
        </w:rPr>
      </w:pPr>
    </w:p>
    <w:p w14:paraId="61AD8E17" w14:textId="7699F91F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Bem-vindo à aula cinco sobre o livro bíblico de Provérbios.</w:t>
      </w:r>
    </w:p>
    <w:p w14:paraId="5A30EB42" w14:textId="77777777" w:rsidR="002657F6" w:rsidRPr="00420769" w:rsidRDefault="002657F6">
      <w:pPr>
        <w:rPr>
          <w:sz w:val="26"/>
          <w:szCs w:val="26"/>
        </w:rPr>
      </w:pPr>
    </w:p>
    <w:p w14:paraId="21BE3A31" w14:textId="5BE11301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Na aula cinco, exploraremos um pouco mais alguns dos impactos do estudo moderno do método de interpretação da poesia, e como isso impacta a nossa compreensão do livro de Provérbios, e então usaremos apenas um estudo de caso. , nomeadamente do capítulo três de Provérbios, para aplicar parte do aprendizado que fizemos na primeira parte da aula cinco sobre o método de interpretação de poesia. A primeira metade do século 21, enquanto gravamos estas palestras, é uma época emocionante para o estudo da poesia da Bíblia. Os estudiosos da língua e da literatura obtiveram novos insights interessantes sobre a poesia, e é isso que quero compartilhar com vocês agora.</w:t>
      </w:r>
    </w:p>
    <w:p w14:paraId="19CB1CE8" w14:textId="77777777" w:rsidR="002657F6" w:rsidRPr="00420769" w:rsidRDefault="002657F6">
      <w:pPr>
        <w:rPr>
          <w:sz w:val="26"/>
          <w:szCs w:val="26"/>
        </w:rPr>
      </w:pPr>
    </w:p>
    <w:p w14:paraId="20209F1D" w14:textId="1A5FAE3C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A linguística moderna e mencionarei alguns dos ramos e farei alguns comentários gerais sobre esses vários ramos da metodologia moderna que contribuem para uma interpretação imaginativa e hábil da poesia. Portanto, a primeira delas é que a linguística moderna nos ajuda a compreender como as palavras adquirem significados diferentes em contextos diferentes e como as combinações de palavras produzem um significado que ultrapassa em muito a soma dos significados das partes individuais. Ajuda-nos a ver a ambiguidade como uma vantagem e não como um revés, algo que mencionei em palestras anteriores.</w:t>
      </w:r>
    </w:p>
    <w:p w14:paraId="1E84E32B" w14:textId="77777777" w:rsidR="002657F6" w:rsidRPr="00420769" w:rsidRDefault="002657F6">
      <w:pPr>
        <w:rPr>
          <w:sz w:val="26"/>
          <w:szCs w:val="26"/>
        </w:rPr>
      </w:pPr>
    </w:p>
    <w:p w14:paraId="6B0BB4F9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Os estudiosos modernos da poesia hebraica ajudaram-nos a superar ideias simplistas de paralelismo poético e a redescobrir a beleza da poesia hebraica, algo em que nos concentramos também numa das palestras anteriores. A teoria crítica moderna inspira-nos a fazer novas perguntas sobre textos familiares, convida-nos a redescobrir a sua relevância moderna e capacita-nos a tornarmo-nos participantes proativos na produção de significado transformador da poesia. O estudo moderno das metáforas, e direi muito mais sobre metáforas numa ou duas próximas palestras, o estudo moderno das metáforas ajuda-nos a compreender como as metáforas que usamos para falar de problemas complexos moldam o nosso pensamento e as nossas vidas.</w:t>
      </w:r>
    </w:p>
    <w:p w14:paraId="3B2A91D1" w14:textId="77777777" w:rsidR="002657F6" w:rsidRPr="00420769" w:rsidRDefault="002657F6">
      <w:pPr>
        <w:rPr>
          <w:sz w:val="26"/>
          <w:szCs w:val="26"/>
        </w:rPr>
      </w:pPr>
    </w:p>
    <w:p w14:paraId="6B28E55A" w14:textId="6BC2AE62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A hermenêutica moderna nos ajuda a ler a poesia bíblica com humildade e expectativa. Aquela famosa citação que continuo repetindo, e espero que você se lembre dela até o fim da vida, o que foi escrito com imaginação deve ser lido com imaginação, como disse o famoso estudioso católico espanhol Luis Alonso </w:t>
      </w:r>
      <w:proofErr xmlns:w="http://schemas.openxmlformats.org/wordprocessingml/2006/main" w:type="spellStart"/>
      <w:r xmlns:w="http://schemas.openxmlformats.org/wordprocessingml/2006/main" w:rsidR="00420769" w:rsidRPr="00420769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Schökel</w:t>
      </w:r>
      <w:proofErr xmlns:w="http://schemas.openxmlformats.org/wordprocessingml/2006/main" w:type="spellEnd"/>
      <w:r xmlns:w="http://schemas.openxmlformats.org/wordprocessingml/2006/main" w:rsidR="0042076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costumava dizer. De muitas maneiras, então, o estudo da poesia hebraica apenas começou.</w:t>
      </w:r>
    </w:p>
    <w:p w14:paraId="1AF39327" w14:textId="77777777" w:rsidR="002657F6" w:rsidRPr="00420769" w:rsidRDefault="002657F6">
      <w:pPr>
        <w:rPr>
          <w:sz w:val="26"/>
          <w:szCs w:val="26"/>
        </w:rPr>
      </w:pPr>
    </w:p>
    <w:p w14:paraId="0D60F08D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Chegamos a um novo território da mente que aguarda a nossa descoberta, uma terra aberta à imaginação interpretativa, convidando-nos a embarcar numa emocionante aventura da mente que pode mudar as nossas vidas, os nossos valores políticos, culturais e éticos, e nos tornar colaboradores mais positivos para a sociedade. E assim, consequentemente, mudar o nosso mundo para o bem comum. Agora, essa leitura cristã imaginativa e responsável requer habilidade e imaginação, e a igreja e a sinagoga precisam ser desafiadas e capacitadas para adquirirem estas virtudes interpretativas.</w:t>
      </w:r>
    </w:p>
    <w:p w14:paraId="5AF8F93C" w14:textId="77777777" w:rsidR="002657F6" w:rsidRPr="00420769" w:rsidRDefault="002657F6">
      <w:pPr>
        <w:rPr>
          <w:sz w:val="26"/>
          <w:szCs w:val="26"/>
        </w:rPr>
      </w:pPr>
    </w:p>
    <w:p w14:paraId="1C7E4C7D" w14:textId="26A8E20F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Por exemplo, as metáforas poéticas na Bíblia são imensamente poderosas e podem ser usadas como forças para o bem ou abusadas para promover ou justificar o mal. Por um lado, podem ser agentes de mudança benéficos, aplicados com responsabilidade e habilidade para o bem comum. Por outro lado, interpretações superficiais e pouco competentes podem transformá-las em armadilhas perigosas, enganando cristãos e judeus bem-intencionados e confirmando pressupostos tacanhos e perigosos correntes no meio cultural geral.</w:t>
      </w:r>
    </w:p>
    <w:p w14:paraId="34491B25" w14:textId="77777777" w:rsidR="002657F6" w:rsidRPr="00420769" w:rsidRDefault="002657F6">
      <w:pPr>
        <w:rPr>
          <w:sz w:val="26"/>
          <w:szCs w:val="26"/>
        </w:rPr>
      </w:pPr>
    </w:p>
    <w:p w14:paraId="73A33C12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Num importante estudo sobre a relevância ética da lei do Antigo Testamento para os cristãos, o notável estudioso do Antigo Testamento Gordon Wenham explica que as leis tendem a ser um compromisso pragmático entre os ideais do legislador e o que pode ser aplicado na práxis. As leis não mostram o que é socialmente desejável, muito menos ideal. Eles impõem padrões bastante mínimos e estabelecem um limite mínimo para um comportamento aceitável, e não um limite ético.</w:t>
      </w:r>
    </w:p>
    <w:p w14:paraId="58447261" w14:textId="77777777" w:rsidR="002657F6" w:rsidRPr="00420769" w:rsidRDefault="002657F6">
      <w:pPr>
        <w:rPr>
          <w:sz w:val="26"/>
          <w:szCs w:val="26"/>
        </w:rPr>
      </w:pPr>
    </w:p>
    <w:p w14:paraId="54E4C62F" w14:textId="530E42F4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Cito que eles não revelam os ideais dos legisladores, mas apenas os limites da sua tolerância. Fim da citação. Em contraste, eu diria que a poesia da Bíblia, incluindo a poesia do Livro dos Provérbios, pode levar-nos mais longe.</w:t>
      </w:r>
    </w:p>
    <w:p w14:paraId="6793D5D5" w14:textId="77777777" w:rsidR="002657F6" w:rsidRPr="00420769" w:rsidRDefault="002657F6">
      <w:pPr>
        <w:rPr>
          <w:sz w:val="26"/>
          <w:szCs w:val="26"/>
        </w:rPr>
      </w:pPr>
    </w:p>
    <w:p w14:paraId="2D7F47A3" w14:textId="652B6860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Nas suas belas palavras e frases, nos seus poderosos pensamentos, emoções e desafios éticos, ficamos realmente cara a cara com os sonhos e esperanças do povo de Deus. E tenha um vislumbre dos ideais de Deus para vidas realizadas e com propósito, que contribuem ativamente para o bem comum, em vez de simplesmente evitar fazer a coisa errada. Agora quero passar para um estudo de caso específico do Livro de Provérbios.</w:t>
      </w:r>
    </w:p>
    <w:p w14:paraId="06EC0A57" w14:textId="77777777" w:rsidR="002657F6" w:rsidRPr="00420769" w:rsidRDefault="002657F6">
      <w:pPr>
        <w:rPr>
          <w:sz w:val="26"/>
          <w:szCs w:val="26"/>
        </w:rPr>
      </w:pPr>
    </w:p>
    <w:p w14:paraId="28556215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Isto está no Capítulo 3, versículos 9 a 10. E esta é poesia sobre prosperidade, uma área e tema no Livro de Provérbios que é muito proeminente e ao qual voltarei mais tarde em uma das últimas palestras de nossa série. Mas aqui agora, esta breve instrução em Provérbios 3, 9 a 10, que é frequentemente associada ao ensino da prosperidade em muitas tradições cristãs.</w:t>
      </w:r>
    </w:p>
    <w:p w14:paraId="6EA07520" w14:textId="77777777" w:rsidR="002657F6" w:rsidRPr="00420769" w:rsidRDefault="002657F6">
      <w:pPr>
        <w:rPr>
          <w:sz w:val="26"/>
          <w:szCs w:val="26"/>
        </w:rPr>
      </w:pPr>
    </w:p>
    <w:p w14:paraId="1CBA40FE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É assim: Honre o Senhor com os seus bens e com os primeiros frutos de todos os seus produtos. Então seus celeiros ficarão cheios de fartura e seus lagares transbordarão de vinho. Vou apenas repetir isso para que você entenda.</w:t>
      </w:r>
    </w:p>
    <w:p w14:paraId="305C0732" w14:textId="77777777" w:rsidR="002657F6" w:rsidRPr="00420769" w:rsidRDefault="002657F6">
      <w:pPr>
        <w:rPr>
          <w:sz w:val="26"/>
          <w:szCs w:val="26"/>
        </w:rPr>
      </w:pPr>
    </w:p>
    <w:p w14:paraId="558CE879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Honre ao Senhor com os seus bens e com os primeiros frutos de todos os seus produtos. Então seus celeiros ficarão cheios de fartura e seus lagares transbordarão de vinho. Esses dois versículos têm sido, é claro, um dos pilares da pregação do evangelho da prosperidade por muitos anos, até mesmo décadas.</w:t>
      </w:r>
    </w:p>
    <w:p w14:paraId="19BF4599" w14:textId="77777777" w:rsidR="002657F6" w:rsidRPr="00420769" w:rsidRDefault="002657F6">
      <w:pPr>
        <w:rPr>
          <w:sz w:val="26"/>
          <w:szCs w:val="26"/>
        </w:rPr>
      </w:pPr>
    </w:p>
    <w:p w14:paraId="59DDB7AD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Uma leitura superficial sugere, de facto, duas ideias relacionadas, uma geral e outra específica. Primeiro, estes versículos parecem sugerir que a piedade leva automaticamente à riqueza. Em segundo lugar, parecem sugerir que a doação de ofertas generosas de dinheiro ao trabalho da igreja ou a organizações ministeriais cristãs conduz automaticamente à prosperidade, especialmente recompensas financeiras.</w:t>
      </w:r>
    </w:p>
    <w:p w14:paraId="29DC516C" w14:textId="77777777" w:rsidR="002657F6" w:rsidRPr="00420769" w:rsidRDefault="002657F6">
      <w:pPr>
        <w:rPr>
          <w:sz w:val="26"/>
          <w:szCs w:val="26"/>
        </w:rPr>
      </w:pPr>
    </w:p>
    <w:p w14:paraId="042C7374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Na prática, isto muitas vezes leva a apelos para que as pessoas deem o chamado dízimo, um décimo do seu rendimento financeiro. Essa pregação é regularmente acompanhada por promessas de que doações fiéis e generosas, até mesmo sacrificiais, tornariam prósperas as pessoas relativamente pobres. Contudo, na verdade não é isso que estes versículos dizem, como tentarei mostrar daqui a pouco.</w:t>
      </w:r>
    </w:p>
    <w:p w14:paraId="3855ED1A" w14:textId="77777777" w:rsidR="002657F6" w:rsidRPr="00420769" w:rsidRDefault="002657F6">
      <w:pPr>
        <w:rPr>
          <w:sz w:val="26"/>
          <w:szCs w:val="26"/>
        </w:rPr>
      </w:pPr>
    </w:p>
    <w:p w14:paraId="5375CE9E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Em vez disso, quero argumentar, e espero que você perceba isso em um minuto, que esses versículos não são dirigidos a pessoas relativamente pobres. Eles são dirigidos de forma bastante específica, direta e expressa </w:t>
      </w:r>
      <w:proofErr xmlns:w="http://schemas.openxmlformats.org/wordprocessingml/2006/main" w:type="spellStart"/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às </w:t>
      </w:r>
      <w:proofErr xmlns:w="http://schemas.openxmlformats.org/wordprocessingml/2006/main" w:type="spellEnd"/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pessoas ricas. Pois o versículo 10 esclarece que seus celeiros, no plural, e seus lagares, novamente no plural, ficarão cheios além da capacidade.</w:t>
      </w:r>
    </w:p>
    <w:p w14:paraId="69846ADF" w14:textId="77777777" w:rsidR="002657F6" w:rsidRPr="00420769" w:rsidRDefault="002657F6">
      <w:pPr>
        <w:rPr>
          <w:sz w:val="26"/>
          <w:szCs w:val="26"/>
        </w:rPr>
      </w:pPr>
    </w:p>
    <w:p w14:paraId="1804E74C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Portanto, apenas pessoas relativamente abastadas têm um celeiro ou um tanque próprio. Aqueles com vários celeiros e cubas são positivamente ricos. O que isto significa? Em vez de fornecer um evangelho da prosperidade para os pobres, estes versículos constituem um evangelho genuíno para os ricos.</w:t>
      </w:r>
    </w:p>
    <w:p w14:paraId="0F2A12DF" w14:textId="77777777" w:rsidR="002657F6" w:rsidRPr="00420769" w:rsidRDefault="002657F6">
      <w:pPr>
        <w:rPr>
          <w:sz w:val="26"/>
          <w:szCs w:val="26"/>
        </w:rPr>
      </w:pPr>
    </w:p>
    <w:p w14:paraId="5C22BAB2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Aqueles com uma riqueza significativa, que já possuem vários celeiros e cubas apenas para conter o seu rendimento regular, são encorajados a colocar Deus em primeiro lugar nas suas vidas, sendo generosos com os outros. A motivação para tal reorientação e generosidade é então dada em promessas. Os celeiros ficarão cheios até transbordar, os recipientes de vinho ficarão cheios até estourar.</w:t>
      </w:r>
    </w:p>
    <w:p w14:paraId="3B6115A8" w14:textId="77777777" w:rsidR="002657F6" w:rsidRPr="00420769" w:rsidRDefault="002657F6">
      <w:pPr>
        <w:rPr>
          <w:sz w:val="26"/>
          <w:szCs w:val="26"/>
        </w:rPr>
      </w:pPr>
    </w:p>
    <w:p w14:paraId="1688A374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E estas promessas implicam dois resultados positivos relacionados, mas distintos. O primeiro resultado é que qualquer doação para a obra de Deus não diminuirá a riqueza do doador, mas a aumentará. Os celeiros e cubas não estarão vazios nem meio cheios, estarão completamente cheios.</w:t>
      </w:r>
    </w:p>
    <w:p w14:paraId="12F34F51" w14:textId="77777777" w:rsidR="002657F6" w:rsidRPr="00420769" w:rsidRDefault="002657F6">
      <w:pPr>
        <w:rPr>
          <w:sz w:val="26"/>
          <w:szCs w:val="26"/>
        </w:rPr>
      </w:pPr>
    </w:p>
    <w:p w14:paraId="1B36966B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Dar não diminuirá o doador. O segundo resultado é que tal doação, pelo contrário, enriquece o doador ao nível do excedente sem excesso. Os celeiros e cubas não serão, desculpe, então deixe-me repetir, isso enriquece o doador ao nível do excedente sem excesso.</w:t>
      </w:r>
    </w:p>
    <w:p w14:paraId="18353EFF" w14:textId="77777777" w:rsidR="002657F6" w:rsidRPr="00420769" w:rsidRDefault="002657F6">
      <w:pPr>
        <w:rPr>
          <w:sz w:val="26"/>
          <w:szCs w:val="26"/>
        </w:rPr>
      </w:pPr>
    </w:p>
    <w:p w14:paraId="4DBE71FC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Não estão prometidos mais celeiros e mais cubas a serem enchidos com cada vez mais milho e vinho, mas sim uma superabundância um pouco além do actual nível de prosperidade. Neste ponto, talvez 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deva 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apenas acrescentar que isto não significa, evidentemente, que os empresários empreendedores não devam pretender expandir os seus negócios. Mas a questão é que a expansão do negócio não é um fim em si, mas um meio para atingir um fim para alcançar a capacidade e a oportunidade de se tornar ainda mais generoso no futuro.</w:t>
      </w:r>
    </w:p>
    <w:p w14:paraId="1E27B6FA" w14:textId="77777777" w:rsidR="002657F6" w:rsidRPr="00420769" w:rsidRDefault="002657F6">
      <w:pPr>
        <w:rPr>
          <w:sz w:val="26"/>
          <w:szCs w:val="26"/>
        </w:rPr>
      </w:pPr>
    </w:p>
    <w:p w14:paraId="74A353E8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Não se trata de acumular riqueza cada vez mais evidente, mas de permitir que quem dá se torne cada vez mais generoso. Uma interpretação imaginativa continuará então e fará a pergunta, engenhosamente motivada por esta misteriosa abundância. O que o doador generoso deve fazer com esse excesso de fortuna além de suas necessidades reais? A resposta óbvia, engenhosamente incorporada no desenho poético deste conselho surpreendente, é esta.</w:t>
      </w:r>
    </w:p>
    <w:p w14:paraId="38D6E93D" w14:textId="77777777" w:rsidR="002657F6" w:rsidRPr="00420769" w:rsidRDefault="002657F6">
      <w:pPr>
        <w:rPr>
          <w:sz w:val="26"/>
          <w:szCs w:val="26"/>
        </w:rPr>
      </w:pPr>
    </w:p>
    <w:p w14:paraId="27BE89AD" w14:textId="4D500DA1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Dê isso! Honre ao Senhor com isso! Continue o ciclo virtuoso de generosidade abundante gerando abundância generosa. Não para o próprio enriquecimento, mas para uma prosperidade do coração que glorifique a Deus através do enriquecimento de outros. Como veremos nas palestras subsequentes, a poesia do Antigo Testamento da Bíblia Hebraica tem o poder de comover, de curar, de desafiar e de transformar.</w:t>
      </w:r>
    </w:p>
    <w:p w14:paraId="53B47462" w14:textId="77777777" w:rsidR="002657F6" w:rsidRPr="00420769" w:rsidRDefault="002657F6">
      <w:pPr>
        <w:rPr>
          <w:sz w:val="26"/>
          <w:szCs w:val="26"/>
        </w:rPr>
      </w:pPr>
    </w:p>
    <w:p w14:paraId="4CE1B8D4" w14:textId="1FB1E616" w:rsidR="002657F6" w:rsidRPr="00420769" w:rsidRDefault="0042076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Nesta poesia também vimos necessidades, ler tal poesia requer habilidade, imaginação e sabedoria. Essas virtudes interpretativas não surgem facilmente. Eles precisam de muito trabalho, comprometimento e perseverança.</w:t>
      </w:r>
    </w:p>
    <w:p w14:paraId="0A7C8612" w14:textId="77777777" w:rsidR="002657F6" w:rsidRPr="00420769" w:rsidRDefault="002657F6">
      <w:pPr>
        <w:rPr>
          <w:sz w:val="26"/>
          <w:szCs w:val="26"/>
        </w:rPr>
      </w:pPr>
    </w:p>
    <w:p w14:paraId="663006FA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Mas os frutos desse investimento em competências interpretativas serão abundantes e gratificantes. Podem trazer mudanças verdadeiras e duradouras para nós e para o bem comum. Talvez eu queira apenas acrescentar mais uma coisa aqui.</w:t>
      </w:r>
    </w:p>
    <w:p w14:paraId="5B8885A0" w14:textId="77777777" w:rsidR="002657F6" w:rsidRPr="00420769" w:rsidRDefault="002657F6">
      <w:pPr>
        <w:rPr>
          <w:sz w:val="26"/>
          <w:szCs w:val="26"/>
        </w:rPr>
      </w:pPr>
    </w:p>
    <w:p w14:paraId="1F7B3F0B" w14:textId="06D4B02A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Estou dando esta palestra tentando garantir que todos os nossos ouvintes estejam cientes de que isso é relevante tanto para os cristãos quanto para os judeus no mundo moderno. Mas eu também, é claro, sendo um pastor ordenado na Igreja Metodista e ensinando num seminário cristão, também falo como um teólogo cristão e um acadêmico cristão. E agora quero colocar muito do que estou compartilhando nestas palestras sobre o Livro de Provérbios em um contexto hermenêutico mais amplo com relação ao papel que a Bíblia Hebraica, a Bíblia Hebraica Judaica e o Antigo Testamento cristão desempenham para os cristãos modernos hoje.</w:t>
      </w:r>
    </w:p>
    <w:p w14:paraId="562E3C65" w14:textId="77777777" w:rsidR="002657F6" w:rsidRPr="00420769" w:rsidRDefault="002657F6">
      <w:pPr>
        <w:rPr>
          <w:sz w:val="26"/>
          <w:szCs w:val="26"/>
        </w:rPr>
      </w:pPr>
    </w:p>
    <w:p w14:paraId="46CFDFC2" w14:textId="60AC9996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E até certo ponto, é claro, também para os crentes judeus modernos de hoje. E quero colocar essas declarações sob o título um tanto provocativo e deliberadamente provocativo, mas também uma declaração meio irônica, alegre e bem-humorada. Para mim, o Antigo Testamento é o Novo Testamento.</w:t>
      </w:r>
    </w:p>
    <w:p w14:paraId="2FC7F2FD" w14:textId="77777777" w:rsidR="002657F6" w:rsidRPr="00420769" w:rsidRDefault="002657F6">
      <w:pPr>
        <w:rPr>
          <w:sz w:val="26"/>
          <w:szCs w:val="26"/>
        </w:rPr>
      </w:pPr>
    </w:p>
    <w:p w14:paraId="24C1A1C3" w14:textId="5E7170A8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Deixe-me dizer isso de novo. O Antigo Testamento é o Novo Testamento. O que quero dizer com isso? Bem, o Novo Testamento foi escrito durante um período de cerca de 100 anos por aqueles que conheceram pessoalmente o Jesus encarnado ou que pelo menos conheceram pessoas que conheceram Jesus através de experiência de primeira mão.</w:t>
      </w:r>
    </w:p>
    <w:p w14:paraId="3367851D" w14:textId="77777777" w:rsidR="002657F6" w:rsidRPr="00420769" w:rsidRDefault="002657F6">
      <w:pPr>
        <w:rPr>
          <w:sz w:val="26"/>
          <w:szCs w:val="26"/>
        </w:rPr>
      </w:pPr>
    </w:p>
    <w:p w14:paraId="256A8A1F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Todos eles escreveram na perspectiva do retorno iminente de Jesus, como sugerido nos Evangelhos, por exemplo, em Mateus 16, versículo 28, ou Lucas 9, versículo 27. Nessa perspectiva, tudo o que importava era a vida futura, eternidade no céu. Como Paulo diz em Colossenses 3, versículo 2, pensem nas coisas que são do alto, e não nas coisas que são da terra, pois vocês morreram e a sua vida está escondida com Cristo em Deus.</w:t>
      </w:r>
    </w:p>
    <w:p w14:paraId="03417FE9" w14:textId="77777777" w:rsidR="002657F6" w:rsidRPr="00420769" w:rsidRDefault="002657F6">
      <w:pPr>
        <w:rPr>
          <w:sz w:val="26"/>
          <w:szCs w:val="26"/>
        </w:rPr>
      </w:pPr>
    </w:p>
    <w:p w14:paraId="02D4CD6A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À luz da ressurreição, os desafios e oportunidades desta vida terrena pareciam periféricos. Paulo novamente, considero que os sofrimentos do tempo presente não são dignos de comparação com a glória que está prestes a ser revelada a nós. Romanos 8, versículo 17.</w:t>
      </w:r>
    </w:p>
    <w:p w14:paraId="38D8FEBA" w14:textId="77777777" w:rsidR="002657F6" w:rsidRPr="00420769" w:rsidRDefault="002657F6">
      <w:pPr>
        <w:rPr>
          <w:sz w:val="26"/>
          <w:szCs w:val="26"/>
        </w:rPr>
      </w:pPr>
    </w:p>
    <w:p w14:paraId="77B0FE47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A maior parte do Novo Testamento, então, foi escrita para preparar seus leitores para o céu. A orientação sobre como viver fielmente aqui e agora era periférica, pois não temos uma cidade duradoura, mas procuramos a cidade que está por vir. Hebreus 13, versículo 14.</w:t>
      </w:r>
    </w:p>
    <w:p w14:paraId="5C17E4C0" w14:textId="77777777" w:rsidR="002657F6" w:rsidRPr="00420769" w:rsidRDefault="002657F6">
      <w:pPr>
        <w:rPr>
          <w:sz w:val="26"/>
          <w:szCs w:val="26"/>
        </w:rPr>
      </w:pPr>
    </w:p>
    <w:p w14:paraId="1BAF7670" w14:textId="40FBBB4B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Agora, por outro lado, o Antigo Testamento, a Bíblia de Jesus e dos discípulos, foi escrito durante um período de cerca de 1.000 anos. Foi escrito por e para uma comunidade de crentes que, durante a maior parte da sua existência, constituíram uma minoria sitiada, rodeada por opositores poderosos. Descreve os altos e baixos dos defeitos e vitórias espirituais e físicas de um povo.</w:t>
      </w:r>
    </w:p>
    <w:p w14:paraId="355F749D" w14:textId="77777777" w:rsidR="002657F6" w:rsidRPr="00420769" w:rsidRDefault="002657F6">
      <w:pPr>
        <w:rPr>
          <w:sz w:val="26"/>
          <w:szCs w:val="26"/>
        </w:rPr>
      </w:pPr>
    </w:p>
    <w:p w14:paraId="2A098147" w14:textId="67152C83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Pinta um quadro vívido das lutas e triunfos de inúmeros indivíduos, grandes heróis e heroínas da fé ao longo de muitas gerações. Apresenta os cânticos de alegria pelas bênçãos divinas e os lamentos de angústia pelo julgamento divino. Oferece-nos vislumbres dos sentimentos e medos mais profundos, das maiores alegrias e insights, e da sabedoria insuperável de grandes pensadores como os autores do Livro de Provérbios.</w:t>
      </w:r>
    </w:p>
    <w:p w14:paraId="49B15D41" w14:textId="77777777" w:rsidR="002657F6" w:rsidRPr="00420769" w:rsidRDefault="002657F6">
      <w:pPr>
        <w:rPr>
          <w:sz w:val="26"/>
          <w:szCs w:val="26"/>
        </w:rPr>
      </w:pPr>
    </w:p>
    <w:p w14:paraId="345365FF" w14:textId="2ED9F68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Em suma, o Antigo Testamento descreve a vida de fé do povo de Deus ao longo da história. E aqui reside a sua relevância para a fé e a práxis cristã moderna. A Igreja Cristã existe há quase 2.000 anos.</w:t>
      </w:r>
    </w:p>
    <w:p w14:paraId="7E7CCA3D" w14:textId="77777777" w:rsidR="002657F6" w:rsidRPr="00420769" w:rsidRDefault="002657F6">
      <w:pPr>
        <w:rPr>
          <w:sz w:val="26"/>
          <w:szCs w:val="26"/>
        </w:rPr>
      </w:pPr>
    </w:p>
    <w:p w14:paraId="146787DD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Durante grande parte da sua história, tem sido uma minoria sitiada como o antigo Israel. Embora isto não tenha sido verdade para a Europa aproximadamente desde 300 d.C. até 1900 d.C. e para a América do Norte desde o século XVIII até aos dias de hoje, tem certamente sido verdade para a maior parte do mundo durante a maior parte da história do Cristianismo. É verdade para a Europa Ocidental hoje e ainda é verdade para muitas partes da África e da Ásia.</w:t>
      </w:r>
    </w:p>
    <w:p w14:paraId="62D3ECF2" w14:textId="77777777" w:rsidR="002657F6" w:rsidRPr="00420769" w:rsidRDefault="002657F6">
      <w:pPr>
        <w:rPr>
          <w:sz w:val="26"/>
          <w:szCs w:val="26"/>
        </w:rPr>
      </w:pPr>
    </w:p>
    <w:p w14:paraId="7735DA93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A Igreja passou por triunfos maravilhosos e fracassos trágicos como o antigo Israel. A Igreja trouxe grandes avanços para a humanidade como o antigo Israel. A Igreja cometeu grandes pecados como o antigo Israel.</w:t>
      </w:r>
    </w:p>
    <w:p w14:paraId="680F315C" w14:textId="77777777" w:rsidR="002657F6" w:rsidRPr="00420769" w:rsidRDefault="002657F6">
      <w:pPr>
        <w:rPr>
          <w:sz w:val="26"/>
          <w:szCs w:val="26"/>
        </w:rPr>
      </w:pPr>
    </w:p>
    <w:p w14:paraId="29E58F48" w14:textId="78B47CA9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Partilha com o Judaísmo moderno um dos maiores tesouros da humanidade, a Bíblia Hebraica, o Antigo Testamento, o Novo Testamento. Para a Igreja, como para o antigo 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Israel e o Judaísmo moderno, o Antigo Testamento e especialmente a sua poesia são uma inspiração para uma vida bem vivida, para a sobrevivência no meio da injustiça e do sofrimento, para a humildade no meio do auto- </w:t>
      </w:r>
      <w:r xmlns:w="http://schemas.openxmlformats.org/wordprocessingml/2006/main" w:rsidR="00420769">
        <w:rPr>
          <w:rFonts w:ascii="Calibri" w:eastAsia="Calibri" w:hAnsi="Calibri" w:cs="Calibri"/>
          <w:sz w:val="26"/>
          <w:szCs w:val="26"/>
        </w:rPr>
        <w:t xml:space="preserve">engrandecimento humano, e para uma vida a serviço do bem comum. Este é o Dr. Knute Heim em seu ensinamento sobre o livro de Provérbios.</w:t>
      </w:r>
    </w:p>
    <w:p w14:paraId="66B69678" w14:textId="77777777" w:rsidR="002657F6" w:rsidRPr="00420769" w:rsidRDefault="002657F6">
      <w:pPr>
        <w:rPr>
          <w:sz w:val="26"/>
          <w:szCs w:val="26"/>
        </w:rPr>
      </w:pPr>
    </w:p>
    <w:p w14:paraId="05B76738" w14:textId="44BCBE0A" w:rsidR="002657F6" w:rsidRPr="00420769" w:rsidRDefault="00000000" w:rsidP="004207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Esta é a sessão número cinco, destaques de Provérbios 1-9.</w:t>
      </w:r>
    </w:p>
    <w:sectPr w:rsidR="002657F6" w:rsidRPr="0042076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2274" w14:textId="77777777" w:rsidR="009F61C5" w:rsidRDefault="009F61C5" w:rsidP="00420769">
      <w:r>
        <w:separator/>
      </w:r>
    </w:p>
  </w:endnote>
  <w:endnote w:type="continuationSeparator" w:id="0">
    <w:p w14:paraId="2CD71EDC" w14:textId="77777777" w:rsidR="009F61C5" w:rsidRDefault="009F61C5" w:rsidP="0042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FDEC" w14:textId="77777777" w:rsidR="009F61C5" w:rsidRDefault="009F61C5" w:rsidP="00420769">
      <w:r>
        <w:separator/>
      </w:r>
    </w:p>
  </w:footnote>
  <w:footnote w:type="continuationSeparator" w:id="0">
    <w:p w14:paraId="45B0AFF7" w14:textId="77777777" w:rsidR="009F61C5" w:rsidRDefault="009F61C5" w:rsidP="0042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2289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ABF8C5" w14:textId="6A75A8DE" w:rsidR="00420769" w:rsidRDefault="0042076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4C1AD7E" w14:textId="77777777" w:rsidR="00420769" w:rsidRDefault="00420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3A7"/>
    <w:multiLevelType w:val="hybridMultilevel"/>
    <w:tmpl w:val="AB545410"/>
    <w:lvl w:ilvl="0" w:tplc="4636F8B2">
      <w:start w:val="1"/>
      <w:numFmt w:val="bullet"/>
      <w:lvlText w:val="●"/>
      <w:lvlJc w:val="left"/>
      <w:pPr>
        <w:ind w:left="720" w:hanging="360"/>
      </w:pPr>
    </w:lvl>
    <w:lvl w:ilvl="1" w:tplc="67185914">
      <w:start w:val="1"/>
      <w:numFmt w:val="bullet"/>
      <w:lvlText w:val="○"/>
      <w:lvlJc w:val="left"/>
      <w:pPr>
        <w:ind w:left="1440" w:hanging="360"/>
      </w:pPr>
    </w:lvl>
    <w:lvl w:ilvl="2" w:tplc="D7C2D018">
      <w:start w:val="1"/>
      <w:numFmt w:val="bullet"/>
      <w:lvlText w:val="■"/>
      <w:lvlJc w:val="left"/>
      <w:pPr>
        <w:ind w:left="2160" w:hanging="360"/>
      </w:pPr>
    </w:lvl>
    <w:lvl w:ilvl="3" w:tplc="C56421DA">
      <w:start w:val="1"/>
      <w:numFmt w:val="bullet"/>
      <w:lvlText w:val="●"/>
      <w:lvlJc w:val="left"/>
      <w:pPr>
        <w:ind w:left="2880" w:hanging="360"/>
      </w:pPr>
    </w:lvl>
    <w:lvl w:ilvl="4" w:tplc="FCB0A284">
      <w:start w:val="1"/>
      <w:numFmt w:val="bullet"/>
      <w:lvlText w:val="○"/>
      <w:lvlJc w:val="left"/>
      <w:pPr>
        <w:ind w:left="3600" w:hanging="360"/>
      </w:pPr>
    </w:lvl>
    <w:lvl w:ilvl="5" w:tplc="1954305C">
      <w:start w:val="1"/>
      <w:numFmt w:val="bullet"/>
      <w:lvlText w:val="■"/>
      <w:lvlJc w:val="left"/>
      <w:pPr>
        <w:ind w:left="4320" w:hanging="360"/>
      </w:pPr>
    </w:lvl>
    <w:lvl w:ilvl="6" w:tplc="C7CA0F04">
      <w:start w:val="1"/>
      <w:numFmt w:val="bullet"/>
      <w:lvlText w:val="●"/>
      <w:lvlJc w:val="left"/>
      <w:pPr>
        <w:ind w:left="5040" w:hanging="360"/>
      </w:pPr>
    </w:lvl>
    <w:lvl w:ilvl="7" w:tplc="64022AD0">
      <w:start w:val="1"/>
      <w:numFmt w:val="bullet"/>
      <w:lvlText w:val="●"/>
      <w:lvlJc w:val="left"/>
      <w:pPr>
        <w:ind w:left="5760" w:hanging="360"/>
      </w:pPr>
    </w:lvl>
    <w:lvl w:ilvl="8" w:tplc="CAE8C830">
      <w:start w:val="1"/>
      <w:numFmt w:val="bullet"/>
      <w:lvlText w:val="●"/>
      <w:lvlJc w:val="left"/>
      <w:pPr>
        <w:ind w:left="6480" w:hanging="360"/>
      </w:pPr>
    </w:lvl>
  </w:abstractNum>
  <w:num w:numId="1" w16cid:durableId="8208042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F6"/>
    <w:rsid w:val="002657F6"/>
    <w:rsid w:val="00420769"/>
    <w:rsid w:val="009F61C5"/>
    <w:rsid w:val="00DF0B62"/>
    <w:rsid w:val="00F1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04A4D"/>
  <w15:docId w15:val="{1B87B294-12C7-44ED-B9B1-EA244D84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0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769"/>
  </w:style>
  <w:style w:type="paragraph" w:styleId="Footer">
    <w:name w:val="footer"/>
    <w:basedOn w:val="Normal"/>
    <w:link w:val="FooterChar"/>
    <w:uiPriority w:val="99"/>
    <w:unhideWhenUsed/>
    <w:rsid w:val="0042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2356</Words>
  <Characters>11432</Characters>
  <Application>Microsoft Office Word</Application>
  <DocSecurity>0</DocSecurity>
  <Lines>225</Lines>
  <Paragraphs>41</Paragraphs>
  <ScaleCrop>false</ScaleCrop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Heim Prov Lec05 HighlightsProv1-9</dc:title>
  <dc:creator>TurboScribe.ai</dc:creator>
  <cp:lastModifiedBy>Ted Hildebrandt</cp:lastModifiedBy>
  <cp:revision>3</cp:revision>
  <dcterms:created xsi:type="dcterms:W3CDTF">2024-02-12T14:50:00Z</dcterms:created>
  <dcterms:modified xsi:type="dcterms:W3CDTF">2024-02-18T13:10:00Z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9aa6ff8e75997c2c277373015267fa609ecb6888501a689b827d839e29b1ce26</vt:lpwstr>
  </property>
</Properties>
</file>