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9060" w14:textId="206AF8B2" w:rsidR="00DB78F7" w:rsidRPr="00855E6B" w:rsidRDefault="00D02480" w:rsidP="00855E6B">
      <w:pPr>
        <w:jc w:val="center"/>
        <w:rPr>
          <w:b/>
          <w:bCs/>
        </w:rPr>
      </w:pPr>
      <w:r w:rsidRPr="00855E6B">
        <w:rPr>
          <w:b/>
          <w:bCs/>
        </w:rPr>
        <w:t>RESEARCH NOTES ON “PROVIDENCE”</w:t>
      </w:r>
    </w:p>
    <w:p w14:paraId="498BE285" w14:textId="77777777" w:rsidR="00D02480" w:rsidRPr="00855E6B" w:rsidRDefault="00D02480">
      <w:pPr>
        <w:rPr>
          <w:b/>
          <w:bCs/>
        </w:rPr>
      </w:pPr>
    </w:p>
    <w:p w14:paraId="77C9D9A5" w14:textId="5F0C8C69" w:rsidR="00D02480" w:rsidRPr="00855E6B" w:rsidRDefault="00D02480">
      <w:pPr>
        <w:rPr>
          <w:b/>
          <w:bCs/>
        </w:rPr>
      </w:pPr>
      <w:r w:rsidRPr="00855E6B">
        <w:rPr>
          <w:b/>
          <w:bCs/>
        </w:rPr>
        <w:t>DEFINITIONS:</w:t>
      </w:r>
    </w:p>
    <w:p w14:paraId="0C78303F" w14:textId="77777777" w:rsidR="00D02480" w:rsidRDefault="00D02480"/>
    <w:p w14:paraId="11A1C195" w14:textId="5CBFEFD6" w:rsidR="00D02480" w:rsidRPr="00311CAD" w:rsidRDefault="00A46FF2">
      <w:r>
        <w:tab/>
        <w:t xml:space="preserve">Piper, </w:t>
      </w:r>
      <w:r>
        <w:rPr>
          <w:i/>
          <w:iCs/>
        </w:rPr>
        <w:t>Providence</w:t>
      </w:r>
      <w:r w:rsidR="00311CAD">
        <w:t xml:space="preserve"> (Crossway)</w:t>
      </w:r>
    </w:p>
    <w:p w14:paraId="29ABDDB3" w14:textId="77777777" w:rsidR="00A46FF2" w:rsidRDefault="00A46FF2"/>
    <w:p w14:paraId="58EB7AD0" w14:textId="2200F315" w:rsidR="00A46FF2" w:rsidRDefault="00A46FF2" w:rsidP="00A46FF2">
      <w:pPr>
        <w:pStyle w:val="ListParagraph"/>
        <w:numPr>
          <w:ilvl w:val="0"/>
          <w:numId w:val="1"/>
        </w:numPr>
      </w:pPr>
      <w:r>
        <w:t>In brief</w:t>
      </w:r>
      <w:proofErr w:type="gramStart"/>
      <w:r>
        <w:t xml:space="preserve">:  </w:t>
      </w:r>
      <w:r w:rsidRPr="00C52AD1">
        <w:rPr>
          <w:b/>
          <w:bCs/>
        </w:rPr>
        <w:t>“</w:t>
      </w:r>
      <w:proofErr w:type="gramEnd"/>
      <w:r w:rsidRPr="00C52AD1">
        <w:rPr>
          <w:b/>
          <w:bCs/>
        </w:rPr>
        <w:t>purposeful sovereignty”</w:t>
      </w:r>
      <w:r>
        <w:t xml:space="preserve"> (691).  Piper works this.</w:t>
      </w:r>
    </w:p>
    <w:p w14:paraId="7EA42CAA" w14:textId="412D4D3A" w:rsidR="00A46FF2" w:rsidRDefault="00A46FF2" w:rsidP="00A46FF2">
      <w:pPr>
        <w:pStyle w:val="ListParagraph"/>
        <w:numPr>
          <w:ilvl w:val="1"/>
          <w:numId w:val="1"/>
        </w:numPr>
      </w:pPr>
      <w:r>
        <w:t>It is “all-embracing, all-pervasive, and invincible” (691)</w:t>
      </w:r>
    </w:p>
    <w:p w14:paraId="34F4FE4F" w14:textId="02E6F82A" w:rsidR="00A46FF2" w:rsidRDefault="00A46FF2" w:rsidP="00A46FF2">
      <w:pPr>
        <w:pStyle w:val="ListParagraph"/>
        <w:numPr>
          <w:ilvl w:val="1"/>
          <w:numId w:val="1"/>
        </w:numPr>
      </w:pPr>
      <w:r>
        <w:t>Guided by “the counsel of his will” (Eph 1:11)</w:t>
      </w:r>
    </w:p>
    <w:p w14:paraId="173F7B75" w14:textId="0D6ACF8B" w:rsidR="00A46FF2" w:rsidRDefault="00A46FF2" w:rsidP="00A46FF2">
      <w:pPr>
        <w:pStyle w:val="ListParagraph"/>
        <w:numPr>
          <w:ilvl w:val="1"/>
          <w:numId w:val="1"/>
        </w:numPr>
      </w:pPr>
      <w:r>
        <w:t>“…is the purposeful sovereignty that carries those plans into action, guides all things toward God’s ultimate goal, and leads to the final consummation.”  Cites Job 42:2; Isa 46:10</w:t>
      </w:r>
    </w:p>
    <w:p w14:paraId="43C0C3A6" w14:textId="6C9E0A0F" w:rsidR="00A46FF2" w:rsidRDefault="00A46FF2" w:rsidP="00A46FF2">
      <w:pPr>
        <w:pStyle w:val="ListParagraph"/>
        <w:numPr>
          <w:ilvl w:val="0"/>
          <w:numId w:val="1"/>
        </w:numPr>
      </w:pPr>
      <w:r>
        <w:t>See his closing chapter for a summary of his work (691ff.)</w:t>
      </w:r>
    </w:p>
    <w:p w14:paraId="1C70AD37" w14:textId="4D165B8D" w:rsidR="00A46FF2" w:rsidRDefault="00A46FF2" w:rsidP="00A46FF2">
      <w:pPr>
        <w:pStyle w:val="ListParagraph"/>
        <w:numPr>
          <w:ilvl w:val="0"/>
          <w:numId w:val="1"/>
        </w:numPr>
      </w:pPr>
      <w:r>
        <w:t>Piper’s book proclaims his view in Church readable language…he does not probe the philosophical and theological issues it may imply.</w:t>
      </w:r>
      <w:r w:rsidR="00C52AD1">
        <w:t xml:space="preserve"> [CHECK CAREFULLY]</w:t>
      </w:r>
    </w:p>
    <w:p w14:paraId="5C1E3C8D" w14:textId="77777777" w:rsidR="00A46FF2" w:rsidRDefault="00A46FF2" w:rsidP="00A46FF2"/>
    <w:p w14:paraId="5E1B0A80" w14:textId="77777777" w:rsidR="00A46FF2" w:rsidRDefault="00A46FF2" w:rsidP="00A46FF2"/>
    <w:p w14:paraId="077552AD" w14:textId="23AE7FD4" w:rsidR="00A46FF2" w:rsidRPr="001F0302" w:rsidRDefault="00A46FF2" w:rsidP="00A46FF2">
      <w:r>
        <w:tab/>
        <w:t xml:space="preserve">Paul Helm, </w:t>
      </w:r>
      <w:r>
        <w:rPr>
          <w:i/>
          <w:iCs/>
        </w:rPr>
        <w:t>The Providence of God</w:t>
      </w:r>
      <w:r w:rsidR="00311CAD">
        <w:t xml:space="preserve"> (IVP)</w:t>
      </w:r>
      <w:r w:rsidR="001F0302">
        <w:tab/>
        <w:t xml:space="preserve">Helm and Spiegel deal with the broader </w:t>
      </w:r>
      <w:r w:rsidR="001F0302">
        <w:tab/>
      </w:r>
      <w:r w:rsidR="001F0302">
        <w:tab/>
      </w:r>
      <w:r w:rsidR="001F0302">
        <w:tab/>
      </w:r>
      <w:r w:rsidR="001F0302">
        <w:tab/>
      </w:r>
      <w:r w:rsidR="001F0302">
        <w:tab/>
      </w:r>
      <w:r w:rsidR="001F0302">
        <w:tab/>
      </w:r>
      <w:r w:rsidR="001F0302">
        <w:tab/>
      </w:r>
      <w:r w:rsidR="00311CAD">
        <w:tab/>
      </w:r>
      <w:proofErr w:type="spellStart"/>
      <w:r w:rsidR="001F0302">
        <w:t>phil</w:t>
      </w:r>
      <w:proofErr w:type="spellEnd"/>
      <w:r w:rsidR="001F0302">
        <w:t>/</w:t>
      </w:r>
      <w:proofErr w:type="spellStart"/>
      <w:r w:rsidR="001F0302">
        <w:t>theo</w:t>
      </w:r>
      <w:proofErr w:type="spellEnd"/>
      <w:r w:rsidR="001F0302">
        <w:t xml:space="preserve"> issues.</w:t>
      </w:r>
    </w:p>
    <w:p w14:paraId="7714D0F4" w14:textId="77777777" w:rsidR="00A46FF2" w:rsidRDefault="00A46FF2" w:rsidP="00A46FF2"/>
    <w:p w14:paraId="6245495B" w14:textId="09C08C29" w:rsidR="00A46FF2" w:rsidRDefault="00A46FF2" w:rsidP="00C52AD1">
      <w:pPr>
        <w:pStyle w:val="ListParagraph"/>
        <w:numPr>
          <w:ilvl w:val="0"/>
          <w:numId w:val="2"/>
        </w:numPr>
      </w:pPr>
      <w:r>
        <w:t>Helm</w:t>
      </w:r>
      <w:r w:rsidR="0074423F">
        <w:t xml:space="preserve"> works the theme of </w:t>
      </w:r>
      <w:r w:rsidR="0074423F" w:rsidRPr="00C52AD1">
        <w:rPr>
          <w:b/>
          <w:bCs/>
        </w:rPr>
        <w:t>“God’s activity now</w:t>
      </w:r>
      <w:r w:rsidR="00C52AD1" w:rsidRPr="00C52AD1">
        <w:rPr>
          <w:b/>
          <w:bCs/>
        </w:rPr>
        <w:t>.</w:t>
      </w:r>
      <w:r w:rsidR="0074423F" w:rsidRPr="00C52AD1">
        <w:rPr>
          <w:b/>
          <w:bCs/>
        </w:rPr>
        <w:t>”</w:t>
      </w:r>
      <w:r w:rsidR="0074423F">
        <w:t xml:space="preserve"> (17</w:t>
      </w:r>
      <w:r w:rsidR="009D5B6A">
        <w:t>, 27</w:t>
      </w:r>
      <w:r w:rsidR="0074423F">
        <w:t>)</w:t>
      </w:r>
    </w:p>
    <w:p w14:paraId="28987DB5" w14:textId="0103B1AD" w:rsidR="00C52AD1" w:rsidRDefault="00C52AD1" w:rsidP="00A46FF2">
      <w:pPr>
        <w:pStyle w:val="ListParagraph"/>
        <w:numPr>
          <w:ilvl w:val="0"/>
          <w:numId w:val="2"/>
        </w:numPr>
      </w:pPr>
      <w:r>
        <w:t xml:space="preserve">“…we are to be concerned with God’s action in our world, and with </w:t>
      </w:r>
      <w:r>
        <w:rPr>
          <w:i/>
          <w:iCs/>
        </w:rPr>
        <w:t>HOW</w:t>
      </w:r>
      <w:r>
        <w:t xml:space="preserve"> [emphasis mine], according to Scripture, that activity is carried out.” (17)</w:t>
      </w:r>
    </w:p>
    <w:p w14:paraId="70612CDE" w14:textId="1B4E6B28" w:rsidR="00C52AD1" w:rsidRDefault="00C52AD1" w:rsidP="00A46FF2">
      <w:pPr>
        <w:pStyle w:val="ListParagraph"/>
        <w:numPr>
          <w:ilvl w:val="0"/>
          <w:numId w:val="2"/>
        </w:numPr>
      </w:pPr>
      <w:r>
        <w:t xml:space="preserve">Providence is </w:t>
      </w:r>
      <w:r w:rsidR="009D5B6A">
        <w:t>directive, purposive, certain.  Providence is also difficult for us “to see” in our tunnel vision.</w:t>
      </w:r>
    </w:p>
    <w:p w14:paraId="224DB3A9" w14:textId="489B14A3" w:rsidR="00C52AD1" w:rsidRDefault="00C52AD1" w:rsidP="00A46FF2">
      <w:pPr>
        <w:pStyle w:val="ListParagraph"/>
        <w:numPr>
          <w:ilvl w:val="0"/>
          <w:numId w:val="2"/>
        </w:numPr>
      </w:pPr>
      <w:r>
        <w:t xml:space="preserve">Helm sees three contexts of operation for </w:t>
      </w:r>
      <w:proofErr w:type="gramStart"/>
      <w:r>
        <w:t>Prov. :</w:t>
      </w:r>
      <w:proofErr w:type="gramEnd"/>
      <w:r>
        <w:t xml:space="preserve">  1/ individual Christian; 2/ the Church; and 3/ Creation.</w:t>
      </w:r>
      <w:r w:rsidR="009D5B6A">
        <w:t xml:space="preserve">  [is this adequate?  Prov also orchestrates the nations, etc.]</w:t>
      </w:r>
    </w:p>
    <w:p w14:paraId="59FF5550" w14:textId="77777777" w:rsidR="009D5B6A" w:rsidRDefault="009D5B6A" w:rsidP="006A2DFC">
      <w:pPr>
        <w:pStyle w:val="ListParagraph"/>
        <w:ind w:left="0"/>
      </w:pPr>
    </w:p>
    <w:p w14:paraId="79B0E055" w14:textId="77777777" w:rsidR="006A2DFC" w:rsidRDefault="006A2DFC" w:rsidP="006A2DFC">
      <w:pPr>
        <w:pStyle w:val="ListParagraph"/>
        <w:ind w:left="0"/>
      </w:pPr>
    </w:p>
    <w:p w14:paraId="05BD6B8E" w14:textId="3446296C" w:rsidR="006A2DFC" w:rsidRPr="006A2DFC" w:rsidRDefault="001F0302" w:rsidP="006A2DFC">
      <w:pPr>
        <w:pStyle w:val="ListParagraph"/>
        <w:ind w:left="0"/>
      </w:pPr>
      <w:r>
        <w:tab/>
      </w:r>
      <w:r w:rsidR="006A2DFC">
        <w:t xml:space="preserve">James S. Spiegel, </w:t>
      </w:r>
      <w:r w:rsidR="006A2DFC">
        <w:rPr>
          <w:i/>
          <w:iCs/>
        </w:rPr>
        <w:t>the Benefits of Providence:  A New Look at Divine Sovereignty</w:t>
      </w:r>
      <w:r w:rsidR="00311CAD">
        <w:t xml:space="preserve"> </w:t>
      </w:r>
    </w:p>
    <w:p w14:paraId="7F9333DE" w14:textId="77777777" w:rsidR="006A2DFC" w:rsidRDefault="006A2DFC" w:rsidP="006A2DFC">
      <w:pPr>
        <w:pStyle w:val="ListParagraph"/>
        <w:ind w:left="0"/>
      </w:pPr>
    </w:p>
    <w:p w14:paraId="54D09FCA" w14:textId="318EE928" w:rsidR="006A2DFC" w:rsidRDefault="0082629C" w:rsidP="006A2DFC">
      <w:pPr>
        <w:pStyle w:val="ListParagraph"/>
        <w:numPr>
          <w:ilvl w:val="0"/>
          <w:numId w:val="3"/>
        </w:numPr>
      </w:pPr>
      <w:r>
        <w:t xml:space="preserve">Slow to define, but uses phrases such as:  </w:t>
      </w:r>
    </w:p>
    <w:p w14:paraId="7F0C9961" w14:textId="5479324B" w:rsidR="0082629C" w:rsidRDefault="0082629C" w:rsidP="0082629C">
      <w:pPr>
        <w:pStyle w:val="ListParagraph"/>
        <w:numPr>
          <w:ilvl w:val="1"/>
          <w:numId w:val="3"/>
        </w:numPr>
      </w:pPr>
      <w:r>
        <w:t>“…he guides every event in human history, and that he is coordinating all aspects of the cosmos toward a glorious end.” (9)</w:t>
      </w:r>
    </w:p>
    <w:p w14:paraId="22E2086E" w14:textId="77777777" w:rsidR="0082629C" w:rsidRDefault="0082629C" w:rsidP="0082629C"/>
    <w:p w14:paraId="425F947F" w14:textId="77777777" w:rsidR="0082629C" w:rsidRDefault="0082629C" w:rsidP="0082629C"/>
    <w:p w14:paraId="49798522" w14:textId="6AEE390E" w:rsidR="0082629C" w:rsidRDefault="0082629C" w:rsidP="0082629C">
      <w:pPr>
        <w:pStyle w:val="ListParagraph"/>
        <w:numPr>
          <w:ilvl w:val="0"/>
          <w:numId w:val="3"/>
        </w:numPr>
      </w:pPr>
      <w:r>
        <w:t>Spiegel quickly notes the perspective of Open Theism (Greg Boyd, Sanders?)</w:t>
      </w:r>
    </w:p>
    <w:p w14:paraId="720743B0" w14:textId="45C27E0D" w:rsidR="001F0302" w:rsidRDefault="001F0302" w:rsidP="001F0302">
      <w:pPr>
        <w:pStyle w:val="ListParagraph"/>
        <w:numPr>
          <w:ilvl w:val="1"/>
          <w:numId w:val="3"/>
        </w:numPr>
      </w:pPr>
      <w:r>
        <w:t>“The classical Christian view or providence affirms God’s exhaustive foreknowledge and complete control over the cosmos.” (14)</w:t>
      </w:r>
    </w:p>
    <w:p w14:paraId="027C795B" w14:textId="4BD6B256" w:rsidR="001F0302" w:rsidRDefault="001F0302" w:rsidP="001F0302">
      <w:pPr>
        <w:pStyle w:val="ListParagraph"/>
        <w:numPr>
          <w:ilvl w:val="1"/>
          <w:numId w:val="3"/>
        </w:numPr>
      </w:pPr>
      <w:r>
        <w:t>OT, however, maintains “that God passively allows many things to happen, even limiting his own knowledge about the future.” (13)</w:t>
      </w:r>
    </w:p>
    <w:p w14:paraId="1FF2081F" w14:textId="4F009F5C" w:rsidR="001F0302" w:rsidRDefault="001F0302" w:rsidP="001F0302">
      <w:pPr>
        <w:pStyle w:val="ListParagraph"/>
        <w:numPr>
          <w:ilvl w:val="1"/>
          <w:numId w:val="3"/>
        </w:numPr>
      </w:pPr>
      <w:r>
        <w:t xml:space="preserve">QUES … how does classical theism view “human freedom” in this matrix.  </w:t>
      </w:r>
    </w:p>
    <w:p w14:paraId="04FB73D8" w14:textId="0384774C" w:rsidR="001F0302" w:rsidRDefault="001F0302" w:rsidP="001F0302">
      <w:pPr>
        <w:pStyle w:val="ListParagraph"/>
        <w:numPr>
          <w:ilvl w:val="1"/>
          <w:numId w:val="3"/>
        </w:numPr>
      </w:pPr>
      <w:r>
        <w:t xml:space="preserve">SO, one’s view of providence and human freedom are in </w:t>
      </w:r>
      <w:proofErr w:type="spellStart"/>
      <w:r>
        <w:t>tandum</w:t>
      </w:r>
      <w:proofErr w:type="spellEnd"/>
      <w:r>
        <w:t>.</w:t>
      </w:r>
    </w:p>
    <w:p w14:paraId="5CC50653" w14:textId="77777777" w:rsidR="001F0302" w:rsidRDefault="001F0302" w:rsidP="001F0302"/>
    <w:p w14:paraId="01A283B1" w14:textId="77777777" w:rsidR="001F0302" w:rsidRDefault="001F0302" w:rsidP="001F0302"/>
    <w:p w14:paraId="3E81CE2E" w14:textId="06B446BB" w:rsidR="006A2DFC" w:rsidRDefault="001F0302" w:rsidP="006A2DFC">
      <w:pPr>
        <w:pStyle w:val="ListParagraph"/>
        <w:ind w:left="0"/>
      </w:pPr>
      <w:r>
        <w:tab/>
        <w:t xml:space="preserve">Mark W. Elliott, </w:t>
      </w:r>
      <w:r>
        <w:rPr>
          <w:i/>
          <w:iCs/>
        </w:rPr>
        <w:t xml:space="preserve">Providence:  </w:t>
      </w:r>
      <w:proofErr w:type="gramStart"/>
      <w:r>
        <w:rPr>
          <w:i/>
          <w:iCs/>
        </w:rPr>
        <w:t>a</w:t>
      </w:r>
      <w:proofErr w:type="gramEnd"/>
      <w:r>
        <w:rPr>
          <w:i/>
          <w:iCs/>
        </w:rPr>
        <w:t xml:space="preserve"> Biblical, Historical, and Theological Account</w:t>
      </w:r>
      <w:r>
        <w:t xml:space="preserve"> (Baker)</w:t>
      </w:r>
    </w:p>
    <w:p w14:paraId="00E8B8DA" w14:textId="77777777" w:rsidR="00311CAD" w:rsidRDefault="00311CAD" w:rsidP="006A2DFC">
      <w:pPr>
        <w:pStyle w:val="ListParagraph"/>
        <w:ind w:left="0"/>
      </w:pPr>
    </w:p>
    <w:p w14:paraId="0337CC68" w14:textId="423BBF8A" w:rsidR="00311CAD" w:rsidRDefault="00BE4236" w:rsidP="00311CAD">
      <w:pPr>
        <w:pStyle w:val="ListParagraph"/>
        <w:numPr>
          <w:ilvl w:val="0"/>
          <w:numId w:val="4"/>
        </w:numPr>
      </w:pPr>
      <w:r>
        <w:lastRenderedPageBreak/>
        <w:t>Interesting beginning where he frames providence as an implicational, even creative construct, more than direct.</w:t>
      </w:r>
    </w:p>
    <w:p w14:paraId="30A9660E" w14:textId="3E1D9DEA" w:rsidR="00DA210B" w:rsidRDefault="00DA210B" w:rsidP="00311CAD">
      <w:pPr>
        <w:pStyle w:val="ListParagraph"/>
        <w:numPr>
          <w:ilvl w:val="0"/>
          <w:numId w:val="4"/>
        </w:numPr>
      </w:pPr>
      <w:r>
        <w:t>NOTE… it is interesting how the belief in providence REQUIRES a belief in the Bible’s presentation of a sovereign God.  The post-rena</w:t>
      </w:r>
      <w:r w:rsidR="00890301">
        <w:t>i</w:t>
      </w:r>
      <w:r>
        <w:t>s</w:t>
      </w:r>
      <w:r w:rsidR="0064475D">
        <w:t>s</w:t>
      </w:r>
      <w:r>
        <w:t>ance culture pushed against a God-control view of the world.</w:t>
      </w:r>
    </w:p>
    <w:p w14:paraId="0EDF35B2" w14:textId="493C6B74" w:rsidR="00890301" w:rsidRDefault="00890301" w:rsidP="00311CAD">
      <w:pPr>
        <w:pStyle w:val="ListParagraph"/>
        <w:numPr>
          <w:ilvl w:val="0"/>
          <w:numId w:val="4"/>
        </w:numPr>
      </w:pPr>
      <w:r>
        <w:t>Elliott evaluates providence historically…</w:t>
      </w:r>
    </w:p>
    <w:p w14:paraId="74631FFA" w14:textId="041BEB20" w:rsidR="00890301" w:rsidRDefault="00890301" w:rsidP="00890301">
      <w:pPr>
        <w:pStyle w:val="ListParagraph"/>
        <w:numPr>
          <w:ilvl w:val="1"/>
          <w:numId w:val="4"/>
        </w:numPr>
      </w:pPr>
      <w:r>
        <w:t xml:space="preserve">In the OT:  </w:t>
      </w:r>
    </w:p>
    <w:p w14:paraId="0F1C9BBE" w14:textId="0617A7C1" w:rsidR="00890301" w:rsidRDefault="00890301" w:rsidP="00890301">
      <w:pPr>
        <w:pStyle w:val="ListParagraph"/>
        <w:numPr>
          <w:ilvl w:val="1"/>
          <w:numId w:val="4"/>
        </w:numPr>
      </w:pPr>
      <w:r>
        <w:t xml:space="preserve">STJ viewed </w:t>
      </w:r>
      <w:r>
        <w:rPr>
          <w:rFonts w:ascii="SPIonic" w:hAnsi="SPIonic"/>
        </w:rPr>
        <w:t>pro/</w:t>
      </w:r>
      <w:proofErr w:type="spellStart"/>
      <w:r>
        <w:rPr>
          <w:rFonts w:ascii="SPIonic" w:hAnsi="SPIonic"/>
        </w:rPr>
        <w:t>noia</w:t>
      </w:r>
      <w:proofErr w:type="spellEnd"/>
      <w:r>
        <w:rPr>
          <w:rFonts w:cstheme="minorHAnsi"/>
        </w:rPr>
        <w:t xml:space="preserve"> as “the story of the people of Israel:  providence is God taking care of things, which involves responding to humans in need and difficulty as well as ongoing supply of the goods of creation, and this according to some intentional, even planned action.” (11)  He mentions the “metaphor of the kingship of God” in the OT as important.</w:t>
      </w:r>
    </w:p>
    <w:p w14:paraId="0083402D" w14:textId="094615F7" w:rsidR="00890301" w:rsidRDefault="00890301" w:rsidP="00890301">
      <w:pPr>
        <w:pStyle w:val="ListParagraph"/>
        <w:numPr>
          <w:ilvl w:val="1"/>
          <w:numId w:val="4"/>
        </w:numPr>
      </w:pPr>
      <w:r>
        <w:t>In the NT.</w:t>
      </w:r>
    </w:p>
    <w:p w14:paraId="345B1C48" w14:textId="77777777" w:rsidR="00855E6B" w:rsidRDefault="00855E6B" w:rsidP="00855E6B"/>
    <w:p w14:paraId="5636FE9C" w14:textId="0B226C13" w:rsidR="00975C9A" w:rsidRPr="00975C9A" w:rsidRDefault="00975C9A" w:rsidP="00975C9A">
      <w:pPr>
        <w:ind w:left="720"/>
      </w:pPr>
      <w:r>
        <w:t xml:space="preserve">Anthony C. </w:t>
      </w:r>
      <w:proofErr w:type="spellStart"/>
      <w:r>
        <w:t>Thiselton</w:t>
      </w:r>
      <w:proofErr w:type="spellEnd"/>
      <w:r>
        <w:t xml:space="preserve">, </w:t>
      </w:r>
      <w:r>
        <w:rPr>
          <w:i/>
          <w:iCs/>
        </w:rPr>
        <w:t xml:space="preserve">The </w:t>
      </w:r>
      <w:proofErr w:type="spellStart"/>
      <w:r>
        <w:rPr>
          <w:i/>
          <w:iCs/>
        </w:rPr>
        <w:t>Thiselton</w:t>
      </w:r>
      <w:proofErr w:type="spellEnd"/>
      <w:r>
        <w:rPr>
          <w:i/>
          <w:iCs/>
        </w:rPr>
        <w:t xml:space="preserve"> Companion to Christian </w:t>
      </w:r>
      <w:proofErr w:type="gramStart"/>
      <w:r>
        <w:rPr>
          <w:i/>
          <w:iCs/>
        </w:rPr>
        <w:t>Theology</w:t>
      </w:r>
      <w:r>
        <w:t xml:space="preserve">  (</w:t>
      </w:r>
      <w:proofErr w:type="gramEnd"/>
      <w:r>
        <w:t>Eerdmans)</w:t>
      </w:r>
      <w:r w:rsidR="001C3534">
        <w:t>, 699ff.</w:t>
      </w:r>
    </w:p>
    <w:p w14:paraId="26DAB945" w14:textId="77777777" w:rsidR="00975C9A" w:rsidRDefault="00975C9A" w:rsidP="00855E6B"/>
    <w:p w14:paraId="63940EEA" w14:textId="7B8D7844" w:rsidR="00975C9A" w:rsidRDefault="00975C9A" w:rsidP="00975C9A">
      <w:pPr>
        <w:pStyle w:val="ListParagraph"/>
        <w:numPr>
          <w:ilvl w:val="0"/>
          <w:numId w:val="7"/>
        </w:numPr>
      </w:pPr>
      <w:r>
        <w:t xml:space="preserve">“Surprisingly, the main Greek word for “providence,” </w:t>
      </w:r>
      <w:r>
        <w:rPr>
          <w:i/>
          <w:iCs/>
        </w:rPr>
        <w:t>pronoia</w:t>
      </w:r>
      <w:r>
        <w:t>, is not applied to God in the NT, although it occurs many times in Greek writers</w:t>
      </w:r>
      <w:proofErr w:type="gramStart"/>
      <w:r>
        <w:t>...(</w:t>
      </w:r>
      <w:proofErr w:type="gramEnd"/>
      <w:r>
        <w:t>BDAG 872)</w:t>
      </w:r>
    </w:p>
    <w:p w14:paraId="2CD6EAC6" w14:textId="7CFB03FF" w:rsidR="001C3534" w:rsidRDefault="001C3534" w:rsidP="00975C9A">
      <w:pPr>
        <w:pStyle w:val="ListParagraph"/>
        <w:numPr>
          <w:ilvl w:val="0"/>
          <w:numId w:val="7"/>
        </w:numPr>
      </w:pPr>
      <w:proofErr w:type="spellStart"/>
      <w:r>
        <w:t>Thiselton</w:t>
      </w:r>
      <w:proofErr w:type="spellEnd"/>
      <w:r>
        <w:t xml:space="preserve"> goes on to build a case by implications.</w:t>
      </w:r>
    </w:p>
    <w:p w14:paraId="47E6CDF5" w14:textId="77777777" w:rsidR="001C3534" w:rsidRDefault="001C3534" w:rsidP="001C3534"/>
    <w:p w14:paraId="7D405EC0" w14:textId="77777777" w:rsidR="00855E6B" w:rsidRDefault="00855E6B" w:rsidP="00855E6B"/>
    <w:p w14:paraId="3E097DE3" w14:textId="0E70EFCC" w:rsidR="00975C9A" w:rsidRDefault="00975C9A" w:rsidP="00855E6B">
      <w:r>
        <w:rPr>
          <w:b/>
          <w:bCs/>
        </w:rPr>
        <w:t>REFLECTIONS</w:t>
      </w:r>
    </w:p>
    <w:p w14:paraId="70E9E520" w14:textId="77777777" w:rsidR="00975C9A" w:rsidRDefault="00975C9A" w:rsidP="00855E6B"/>
    <w:p w14:paraId="40EC1745" w14:textId="14FC6091" w:rsidR="00975C9A" w:rsidRPr="00975C9A" w:rsidRDefault="00975C9A" w:rsidP="00975C9A">
      <w:pPr>
        <w:ind w:left="720"/>
      </w:pPr>
      <w:r>
        <w:t>Read the articles included.  As you will observe, they are part of how Western Confessional documents have addressed providence.</w:t>
      </w:r>
    </w:p>
    <w:p w14:paraId="3F657FF8" w14:textId="77777777" w:rsidR="00855E6B" w:rsidRDefault="00855E6B" w:rsidP="00855E6B"/>
    <w:p w14:paraId="5C56121F" w14:textId="77777777" w:rsidR="00855E6B" w:rsidRDefault="00855E6B" w:rsidP="00855E6B"/>
    <w:p w14:paraId="232679C8" w14:textId="29167167" w:rsidR="00855E6B" w:rsidRPr="00855E6B" w:rsidRDefault="00855E6B" w:rsidP="00855E6B">
      <w:pPr>
        <w:rPr>
          <w:b/>
          <w:bCs/>
        </w:rPr>
      </w:pPr>
      <w:r w:rsidRPr="00855E6B">
        <w:rPr>
          <w:b/>
          <w:bCs/>
        </w:rPr>
        <w:t>GROCERY LIST OF KEY TEXTS IMPLYING PROVIDENCE/SOVEREIGNTY</w:t>
      </w:r>
    </w:p>
    <w:p w14:paraId="46DADAB4" w14:textId="77777777" w:rsidR="00855E6B" w:rsidRDefault="00855E6B" w:rsidP="00855E6B"/>
    <w:p w14:paraId="16A22676" w14:textId="58BB987B" w:rsidR="00855E6B" w:rsidRDefault="00975C9A" w:rsidP="00855E6B">
      <w:r>
        <w:tab/>
        <w:t>Pull texts from articles provided and your research.</w:t>
      </w:r>
    </w:p>
    <w:p w14:paraId="50D905EE" w14:textId="77777777" w:rsidR="00855E6B" w:rsidRDefault="00855E6B" w:rsidP="00855E6B"/>
    <w:p w14:paraId="1B8ED1DB" w14:textId="13629324" w:rsidR="00855E6B" w:rsidRDefault="00855E6B" w:rsidP="00855E6B">
      <w:r>
        <w:rPr>
          <w:b/>
          <w:bCs/>
        </w:rPr>
        <w:t>THEOLOGICAL ISSUES RELATED TO PROVIDENCE/SOVEREIGNTY</w:t>
      </w:r>
    </w:p>
    <w:p w14:paraId="4E399337" w14:textId="77777777" w:rsidR="00855E6B" w:rsidRDefault="00855E6B" w:rsidP="00855E6B"/>
    <w:p w14:paraId="2DE175D0" w14:textId="55CF519C" w:rsidR="004B7F0F" w:rsidRDefault="004B7F0F" w:rsidP="004B7F0F">
      <w:pPr>
        <w:pStyle w:val="ListParagraph"/>
        <w:numPr>
          <w:ilvl w:val="0"/>
          <w:numId w:val="6"/>
        </w:numPr>
      </w:pPr>
      <w:r>
        <w:t>Does providential sovereignty require “fatalism” on some scale?</w:t>
      </w:r>
    </w:p>
    <w:p w14:paraId="01AB418E" w14:textId="5821C641" w:rsidR="00855E6B" w:rsidRDefault="004B7F0F" w:rsidP="004B7F0F">
      <w:pPr>
        <w:pStyle w:val="ListParagraph"/>
        <w:numPr>
          <w:ilvl w:val="0"/>
          <w:numId w:val="5"/>
        </w:numPr>
      </w:pPr>
      <w:r>
        <w:t>“God will provide” (Gen 22) … but in many lives “God does not provide” (Paul’s issue…but more to the point relates to physical evil in life.).  “God helps those who help themselves” seems a better route at times.</w:t>
      </w:r>
    </w:p>
    <w:p w14:paraId="014D9450" w14:textId="77777777" w:rsidR="001C3534" w:rsidRDefault="001C3534" w:rsidP="00855E6B"/>
    <w:p w14:paraId="6D9CA713" w14:textId="3AD465AE" w:rsidR="00855E6B" w:rsidRDefault="00855E6B" w:rsidP="00855E6B">
      <w:pPr>
        <w:rPr>
          <w:b/>
          <w:bCs/>
        </w:rPr>
      </w:pPr>
      <w:r>
        <w:rPr>
          <w:b/>
          <w:bCs/>
        </w:rPr>
        <w:t>PROVIDENCE RELATES TO OUR DAILY DECISION MAKING…LARGE AND SMALL</w:t>
      </w:r>
    </w:p>
    <w:p w14:paraId="5E9BDA1A" w14:textId="77777777" w:rsidR="001C3534" w:rsidRDefault="001C3534" w:rsidP="00855E6B">
      <w:pPr>
        <w:rPr>
          <w:b/>
          <w:bCs/>
        </w:rPr>
      </w:pPr>
    </w:p>
    <w:p w14:paraId="6E1EA96D" w14:textId="77777777" w:rsidR="001C3534" w:rsidRPr="00855E6B" w:rsidRDefault="001C3534" w:rsidP="00855E6B"/>
    <w:sectPr w:rsidR="001C3534" w:rsidRPr="00855E6B" w:rsidSect="001C3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PIonic">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66174"/>
    <w:multiLevelType w:val="hybridMultilevel"/>
    <w:tmpl w:val="CBA03F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C187D09"/>
    <w:multiLevelType w:val="hybridMultilevel"/>
    <w:tmpl w:val="09705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6A75647C"/>
    <w:multiLevelType w:val="hybridMultilevel"/>
    <w:tmpl w:val="7F30E2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F8E65E5"/>
    <w:multiLevelType w:val="hybridMultilevel"/>
    <w:tmpl w:val="97A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843BF"/>
    <w:multiLevelType w:val="hybridMultilevel"/>
    <w:tmpl w:val="613A41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1C10E1"/>
    <w:multiLevelType w:val="hybridMultilevel"/>
    <w:tmpl w:val="888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906DC"/>
    <w:multiLevelType w:val="hybridMultilevel"/>
    <w:tmpl w:val="CE4A94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57279272">
    <w:abstractNumId w:val="2"/>
  </w:num>
  <w:num w:numId="2" w16cid:durableId="1423454940">
    <w:abstractNumId w:val="4"/>
  </w:num>
  <w:num w:numId="3" w16cid:durableId="2064863631">
    <w:abstractNumId w:val="0"/>
  </w:num>
  <w:num w:numId="4" w16cid:durableId="823854826">
    <w:abstractNumId w:val="6"/>
  </w:num>
  <w:num w:numId="5" w16cid:durableId="614943361">
    <w:abstractNumId w:val="3"/>
  </w:num>
  <w:num w:numId="6" w16cid:durableId="968977908">
    <w:abstractNumId w:val="5"/>
  </w:num>
  <w:num w:numId="7" w16cid:durableId="57143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80"/>
    <w:rsid w:val="00023395"/>
    <w:rsid w:val="00137A5B"/>
    <w:rsid w:val="001C3534"/>
    <w:rsid w:val="001F0302"/>
    <w:rsid w:val="00311CAD"/>
    <w:rsid w:val="004B7F0F"/>
    <w:rsid w:val="004E1276"/>
    <w:rsid w:val="0064475D"/>
    <w:rsid w:val="006A2DFC"/>
    <w:rsid w:val="0074423F"/>
    <w:rsid w:val="0082629C"/>
    <w:rsid w:val="00855E6B"/>
    <w:rsid w:val="00890301"/>
    <w:rsid w:val="00891B55"/>
    <w:rsid w:val="00975C9A"/>
    <w:rsid w:val="009D5B6A"/>
    <w:rsid w:val="00A46FF2"/>
    <w:rsid w:val="00A56E4D"/>
    <w:rsid w:val="00BE4236"/>
    <w:rsid w:val="00C52AD1"/>
    <w:rsid w:val="00D02480"/>
    <w:rsid w:val="00D22258"/>
    <w:rsid w:val="00DA210B"/>
    <w:rsid w:val="00DB307B"/>
    <w:rsid w:val="00DB78F7"/>
    <w:rsid w:val="00EA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DE029"/>
  <w15:chartTrackingRefBased/>
  <w15:docId w15:val="{F9C39B21-3B44-374B-A70E-B33C1D84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4</cp:revision>
  <dcterms:created xsi:type="dcterms:W3CDTF">2024-07-19T14:49:00Z</dcterms:created>
  <dcterms:modified xsi:type="dcterms:W3CDTF">2024-12-21T18:53:00Z</dcterms:modified>
</cp:coreProperties>
</file>