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85C3" w14:textId="0E4A0AFF" w:rsidR="00132790" w:rsidRPr="00662115" w:rsidRDefault="00662115" w:rsidP="0066211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662115">
        <w:rPr>
          <w:rFonts w:ascii="Calibri" w:eastAsia="Calibri" w:hAnsi="Calibri" w:cs="Calibri"/>
          <w:b/>
          <w:bCs/>
          <w:sz w:val="40"/>
          <w:szCs w:val="40"/>
        </w:rPr>
        <w:t xml:space="preserve">Доктор Дэвид Бауэр, Индуктивное изучение Библии, лекция 9,</w:t>
      </w:r>
    </w:p>
    <w:p w14:paraId="635CDFDE" w14:textId="145E962C" w:rsidR="00662115" w:rsidRPr="00662115" w:rsidRDefault="00662115" w:rsidP="0066211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662115">
        <w:rPr>
          <w:rFonts w:ascii="Calibri" w:eastAsia="Calibri" w:hAnsi="Calibri" w:cs="Calibri"/>
          <w:b/>
          <w:bCs/>
          <w:sz w:val="40"/>
          <w:szCs w:val="40"/>
        </w:rPr>
        <w:t xml:space="preserve">Книга Иакова</w:t>
      </w:r>
    </w:p>
    <w:p w14:paraId="0E27444E" w14:textId="142D4CFC" w:rsidR="00662115" w:rsidRPr="00662115" w:rsidRDefault="00662115" w:rsidP="00662115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62115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2024 Дэвид Бауэр и Тед Хильдебрандт</w:t>
      </w:r>
    </w:p>
    <w:p w14:paraId="760A46BD" w14:textId="77777777" w:rsidR="00662115" w:rsidRPr="00662115" w:rsidRDefault="00662115">
      <w:pPr>
        <w:rPr>
          <w:sz w:val="26"/>
          <w:szCs w:val="26"/>
        </w:rPr>
      </w:pPr>
    </w:p>
    <w:p w14:paraId="51205F06" w14:textId="77777777" w:rsidR="00662115" w:rsidRPr="00662115" w:rsidRDefault="00662115" w:rsidP="0066211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Это доктор Дэвид Бауэр в своем учении об индуктивном изучении Библии. Это занятие 9, Книжный обзор, Джеймс.</w:t>
      </w:r>
    </w:p>
    <w:p w14:paraId="45234196" w14:textId="443F72B5" w:rsidR="00132790" w:rsidRPr="00662115" w:rsidRDefault="0066211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662115">
        <w:rPr>
          <w:rFonts w:ascii="Calibri" w:eastAsia="Calibri" w:hAnsi="Calibri" w:cs="Calibri"/>
          <w:sz w:val="26"/>
          <w:szCs w:val="26"/>
        </w:rPr>
        <w:t xml:space="preserve">Мы готовы перейти к обзору книги Иакова. Теперь мы закончили опрос Джуда. Я хотел использовать Джуда в качестве выборочного опроса, потому что с Джудом немного больше, может быть, немного легче работать, он немного более полезен с точки зрения того, что он может служить примером для метода книжного опроса.</w:t>
      </w:r>
    </w:p>
    <w:p w14:paraId="7497F6B9" w14:textId="77777777" w:rsidR="00132790" w:rsidRPr="00662115" w:rsidRDefault="00132790">
      <w:pPr>
        <w:rPr>
          <w:sz w:val="26"/>
          <w:szCs w:val="26"/>
        </w:rPr>
      </w:pPr>
    </w:p>
    <w:p w14:paraId="04E1123E" w14:textId="423DCE33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Джеймс немного более вовлечен, но, проработав Джуда, я думаю, мы готовы пойти дальше и заняться книгой Джеймса. Позвольте мне сказать тем из вас, кто смотрит сейчас, что вы, возможно, захотите сделать паузу и прочитать Джеймса, проделайте с Джеймсом то же самое, что мы предлагали вам сделать с Джудом. То есть прочитать книгу и попробовать свои силы в обзорных наблюдениях и действиях Джеймса, а затем вернуться и сравнить то, что вы нашли, с тем, что я представляю.</w:t>
      </w:r>
    </w:p>
    <w:p w14:paraId="498591E4" w14:textId="77777777" w:rsidR="00132790" w:rsidRPr="00662115" w:rsidRDefault="00132790">
      <w:pPr>
        <w:rPr>
          <w:sz w:val="26"/>
          <w:szCs w:val="26"/>
        </w:rPr>
      </w:pPr>
    </w:p>
    <w:p w14:paraId="243AA89A" w14:textId="77777777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Теперь, когда я представляю различные книги, в данном случае Джеймса, я никоим образом не хочу создать впечатление, что то, что я представляю, является правильным ответом, и, насколько вы можете видеть, например, структуру книги иначе, чем я </w:t>
      </w:r>
      <w:proofErr xmlns:w="http://schemas.openxmlformats.org/wordprocessingml/2006/main" w:type="gramStart"/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то вы ошибаетесь. На самом деле это вопрос моего представления методом прозрачности. Другими словами, это попытка проиллюстрировать принципы метода, о которых мы говорили.</w:t>
      </w:r>
    </w:p>
    <w:p w14:paraId="7962EE70" w14:textId="77777777" w:rsidR="00132790" w:rsidRPr="00662115" w:rsidRDefault="00132790">
      <w:pPr>
        <w:rPr>
          <w:sz w:val="26"/>
          <w:szCs w:val="26"/>
        </w:rPr>
      </w:pPr>
    </w:p>
    <w:p w14:paraId="63623E5D" w14:textId="541C51F4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Но в любом случае, когда я представляю, я наглядно представляю, что я нашел и почему. Итак, как я уже сказал, дело не в том, что у меня есть правильный ответ, и вы ошибаетесь, если не согласны с ним. Это совсем не так.</w:t>
      </w:r>
    </w:p>
    <w:p w14:paraId="4AFF6368" w14:textId="77777777" w:rsidR="00132790" w:rsidRPr="00662115" w:rsidRDefault="00132790">
      <w:pPr>
        <w:rPr>
          <w:sz w:val="26"/>
          <w:szCs w:val="26"/>
        </w:rPr>
      </w:pPr>
    </w:p>
    <w:p w14:paraId="42955CA8" w14:textId="35BCF9FE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Но с точки зрения общего материала, опять же, здесь у нас есть послание, и совершенно ясно, что, хотя мы и имеем некоторое упоминание о людях, в частности, конечно, об Аврааме и Раав, но также об Иове и Илии, это действительно дело не в этих людях. Она не биографична с точки зрения общего материала, с точки зрения направленности содержания книги, но скорее содержание книги довольно четко фокусируется на идеях и особенно, конечно, на понятии мудрости и тому подобном. Итак, общие материалы мы считаем идеологическими.</w:t>
      </w:r>
    </w:p>
    <w:p w14:paraId="771064A2" w14:textId="77777777" w:rsidR="00132790" w:rsidRPr="00662115" w:rsidRDefault="00132790">
      <w:pPr>
        <w:rPr>
          <w:sz w:val="26"/>
          <w:szCs w:val="26"/>
        </w:rPr>
      </w:pPr>
    </w:p>
    <w:p w14:paraId="4AF17F41" w14:textId="338B33BE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Вот мои предложения по названиям и возможным названиям глав. И затем, с точки зрения структуры книги, определения основных единиц и подразделов книги, ее разбивки, а также с точки зрения основных структурных </w:t>
      </w:r>
      <w:proofErr xmlns:w="http://schemas.openxmlformats.org/wordprocessingml/2006/main" w:type="gramStart"/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отношений </w:t>
      </w:r>
      <w:proofErr xmlns:w="http://schemas.openxmlformats.org/wordprocessingml/2006/main" w:type="gramEnd"/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, действующих в книге в целом, Джеймс представляет собой некоторую проблему с точки зрения поломки. На самом деле </w:t>
      </w: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среди ученых нет единого мнения относительно линейной структуры книги Иакова.</w:t>
      </w:r>
    </w:p>
    <w:p w14:paraId="2DABC9BD" w14:textId="77777777" w:rsidR="00132790" w:rsidRPr="00662115" w:rsidRDefault="00132790">
      <w:pPr>
        <w:rPr>
          <w:sz w:val="26"/>
          <w:szCs w:val="26"/>
        </w:rPr>
      </w:pPr>
    </w:p>
    <w:p w14:paraId="32672B6E" w14:textId="051372A9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Но еще раз укажу, где я это вижу и почему. Однако я мог бы сказать, что совершенно очевидно (и неплохо было бы начать с очевидных замечаний), что 1:1 — это эпистолярное приветствие или приветствие. Неясно, есть ли здесь вообще эпистолярное заключение, и если да, то где оно начинается, но введение, по крайней мере, довольно ясно.</w:t>
      </w:r>
    </w:p>
    <w:p w14:paraId="3AF9F7A6" w14:textId="77777777" w:rsidR="00132790" w:rsidRPr="00662115" w:rsidRDefault="00132790">
      <w:pPr>
        <w:rPr>
          <w:sz w:val="26"/>
          <w:szCs w:val="26"/>
        </w:rPr>
      </w:pPr>
    </w:p>
    <w:p w14:paraId="229E693B" w14:textId="5C17C53B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Итак, приветствие у нас есть, как я предлагаю, в 1:1. В 5.19–20 есть заключительный совет, хотя, как мы увидим, когда доберемся до интерпретации Главы 5, 5:19–20 на самом деле можно рассматривать как весьма существенно связанные с 5.12–18. совершенно очевидно, что у вас здесь значительный перерыв, но мы предполагаем, что это возможно. Что касается основной части послания, я склоняюсь к тому, что главный перелом произойдет между 1.27 и 2.1. В 1.2–1.27 мы видим то, на что мы могли бы ссылаться, и то, что некоторые называют увертюрой к книге Иакова.</w:t>
      </w:r>
    </w:p>
    <w:p w14:paraId="3237D2AD" w14:textId="77777777" w:rsidR="00132790" w:rsidRPr="00662115" w:rsidRDefault="00132790">
      <w:pPr>
        <w:rPr>
          <w:sz w:val="26"/>
          <w:szCs w:val="26"/>
        </w:rPr>
      </w:pPr>
    </w:p>
    <w:p w14:paraId="229A1350" w14:textId="1AE9BA99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Я описываю это как декларации и инструкции относительно победы христианской жизни над испытаниями и искушениями и над возможностью обмана посредством двойного ресурса мудрости и Слова. Как я упоминал здесь внизу, говоря о 1:2–2:7, Джеймс, мне кажется, здесь, в главе 1, представляет практически все основные вопросы книги в довольно общем виде и делает это в контексте триумф христианской жизни над испытаниями и искушениями и над возможностью обмана благодаря двойному ресурсу мудрости и Слова. Я упомянул здесь, что есть восемь вопросов, которые Иаков представляет в довольно общем виде в 1:2-27, а затем продолжает и расширяет их в каждом случае в оставшейся части книги, то, что я называю аргументами и увещеваниями относительно проблем. в христианской жизни.</w:t>
      </w:r>
    </w:p>
    <w:p w14:paraId="0BE39D16" w14:textId="77777777" w:rsidR="00132790" w:rsidRPr="00662115" w:rsidRDefault="00132790">
      <w:pPr>
        <w:rPr>
          <w:sz w:val="26"/>
          <w:szCs w:val="26"/>
        </w:rPr>
      </w:pPr>
    </w:p>
    <w:p w14:paraId="360E113C" w14:textId="3E4A3126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Мудрость в общих чертах представлена в главе 1, стихи с 5 по 8, а затем особенно развита в 3:13–18. Вся эта история с богатыми в общих чертах представлена в 1:9–11, а затем подробно рассматривается в 2.1–13 и в 5:1–6. На самом деле, да, мы так скажем. Мы могли бы включить туда от 4:13 до 5:6, но по причинам, которые станут ясны позже, я на самом деле не думаю, что конец главы 4 принадлежит именно богатым, а скорее касается учеников или христиан, у которых есть средства. , но он не хочет называть их богатыми.</w:t>
      </w:r>
    </w:p>
    <w:p w14:paraId="54B80622" w14:textId="77777777" w:rsidR="00132790" w:rsidRPr="00662115" w:rsidRDefault="00132790">
      <w:pPr>
        <w:rPr>
          <w:sz w:val="26"/>
          <w:szCs w:val="26"/>
        </w:rPr>
      </w:pPr>
    </w:p>
    <w:p w14:paraId="32D0304D" w14:textId="3E230295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Он говорит о божественных дарах в общих чертах, в общих чертах представляет это в 1:16–18, а затем развивает это, можно сказать, конкретизирует это описание, обсуждение в 4:1–10 и в 5:13–18. в общих чертах вводит понятие активной веры в 1:19–25, а затем расширяет его в 2:1–26. Он вводит вопрос о языке в 1:26 в общем виде, а затем </w:t>
      </w: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расширяет его в таким образом, что совершенно ясно развивает то, что он сказал в 1:26, </w:t>
      </w:r>
      <w:r xmlns:w="http://schemas.openxmlformats.org/wordprocessingml/2006/main" w:rsidR="00443F73">
        <w:rPr>
          <w:rFonts w:ascii="Calibri" w:eastAsia="Calibri" w:hAnsi="Calibri" w:cs="Calibri"/>
          <w:sz w:val="26"/>
          <w:szCs w:val="26"/>
        </w:rPr>
        <w:t xml:space="preserve">в 3:1-4:12. В общих чертах он представляет социальную заботу, то есть заботу о бедных и нуждающихся, в 1:27, а затем расширяет это в 2:1-26.</w:t>
      </w:r>
    </w:p>
    <w:p w14:paraId="77D9CDAA" w14:textId="77777777" w:rsidR="00132790" w:rsidRPr="00662115" w:rsidRDefault="00132790">
      <w:pPr>
        <w:rPr>
          <w:sz w:val="26"/>
          <w:szCs w:val="26"/>
        </w:rPr>
      </w:pPr>
    </w:p>
    <w:p w14:paraId="79B3EED6" w14:textId="506BF817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Он в общих чертах представляет проблему страдания в главе 1, стихи со 2 по 4. Он снова поднимает эту тему в стихе 12, затем расширяет ее в стихах 5:1–18 и в общих чертах вводит понятие молитвы в стихе 1.5. до 8, а затем расширяет это в 4.1-3 и в 5:13-18. Кстати, возможно, как мы увидим позже, язык развивается не только в 3:1-4:12, но, возможно, и в 4:12. также с 5:12 по 18 или, может быть, даже по 20. Вот почему я говорю, что глава 1, я думаю, более общая.</w:t>
      </w:r>
    </w:p>
    <w:p w14:paraId="06DE8028" w14:textId="77777777" w:rsidR="00132790" w:rsidRPr="00662115" w:rsidRDefault="00132790">
      <w:pPr>
        <w:rPr>
          <w:sz w:val="26"/>
          <w:szCs w:val="26"/>
        </w:rPr>
      </w:pPr>
    </w:p>
    <w:p w14:paraId="20E72E1D" w14:textId="77777777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Это своего рода увертюра, использующая язык, который мы на самом деле заимствуем из музыки, особенно из симфоний, где увертюра часто включает в себя, знаете ли, соединение, переплетение, в короткой, сокращенной форме, мелодий, которые будут развиваться далее. полностью позже в музыкальной композиции. И, похоже, у вас здесь есть именно такая вещь. Итак, он представляет здесь все эти вопросы с той точки зрения, что мы будем развивать каждый из них позже в послании.</w:t>
      </w:r>
    </w:p>
    <w:p w14:paraId="5FE0CF1F" w14:textId="77777777" w:rsidR="00132790" w:rsidRPr="00662115" w:rsidRDefault="00132790">
      <w:pPr>
        <w:rPr>
          <w:sz w:val="26"/>
          <w:szCs w:val="26"/>
        </w:rPr>
      </w:pPr>
    </w:p>
    <w:p w14:paraId="4E76C821" w14:textId="78C49A82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Что ж, если это так, то с 2:1 по 5:18 у нас будет три субъединицы. В главе 2 мы приводим аргументы и увещевания относительно обращения с бедными, которые он затем связывает и основывает на богословском обсуждении веры и дел. Здесь упор делается на подчинение бедным, что приводит к отказу от пристрастности и пассивности.</w:t>
      </w:r>
    </w:p>
    <w:p w14:paraId="3DE87B19" w14:textId="77777777" w:rsidR="00132790" w:rsidRPr="00662115" w:rsidRDefault="00132790">
      <w:pPr>
        <w:rPr>
          <w:sz w:val="26"/>
          <w:szCs w:val="26"/>
        </w:rPr>
      </w:pPr>
    </w:p>
    <w:p w14:paraId="1AC73125" w14:textId="0D78B633" w:rsidR="00132790" w:rsidRPr="00662115" w:rsidRDefault="00443F7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Затем, в 3:1-4:12, приводятся аргументы и увещевания относительно борьбы с враждующими страстями, которая предполагает реальное подчинение братству и отказ от того, что вредно для других внутри общины, отказ от нечистой речи, и горькой зависти. Затем, с 4:13 по 5:18, аргументы и увещевания относительно терпеливого подчинения суверенной воле и действиям Бога. Это предполагает, конечно же, подчинение действию Бога и его следствие — отказ от самодостаточности и самоуправления.</w:t>
      </w:r>
    </w:p>
    <w:p w14:paraId="66B521B8" w14:textId="77777777" w:rsidR="00132790" w:rsidRPr="00662115" w:rsidRDefault="00132790">
      <w:pPr>
        <w:rPr>
          <w:sz w:val="26"/>
          <w:szCs w:val="26"/>
        </w:rPr>
      </w:pPr>
    </w:p>
    <w:p w14:paraId="4DDB8269" w14:textId="757FF52F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По крайней мере, это один из способов понять структуру и ход аргументации Джеймса. Что ж, с точки зрения основных структурных отношений, я уже упоминал, что у нас есть подготовительное заявление, фоновое заявление в 1:1. На самом деле это довольно короткий текст, хотя он и не просто скелетный. То есть в нем есть определенные элементы, которые не всегда можно найти в этих приветствиях и которые имеют важное значение для фона книги.</w:t>
      </w:r>
    </w:p>
    <w:p w14:paraId="7926C591" w14:textId="77777777" w:rsidR="00132790" w:rsidRPr="00662115" w:rsidRDefault="00132790">
      <w:pPr>
        <w:rPr>
          <w:sz w:val="26"/>
          <w:szCs w:val="26"/>
        </w:rPr>
      </w:pPr>
    </w:p>
    <w:p w14:paraId="5F763A32" w14:textId="69F99C1C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Писатель идентифицирует себя как Иакова с точки зрения личности и описывает свой статус слуги, </w:t>
      </w:r>
      <w:proofErr xmlns:w="http://schemas.openxmlformats.org/wordprocessingml/2006/main" w:type="spellStart"/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doulos </w:t>
      </w:r>
      <w:proofErr xmlns:w="http://schemas.openxmlformats.org/wordprocessingml/2006/main" w:type="spellEnd"/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, или раба Бога и Господа Иисуса Христа. То, что он говорит здесь о получателях, очень интересно, и нужно подумать, что это важно для истинного понимания послания. Он называет читателей 12 коленами и их </w:t>
      </w: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местоположением или статусом рассеяния, 12 коленами рассеяния и </w:t>
      </w:r>
      <w:r xmlns:w="http://schemas.openxmlformats.org/wordprocessingml/2006/main" w:rsidR="00443F73">
        <w:rPr>
          <w:rFonts w:ascii="Calibri" w:eastAsia="Calibri" w:hAnsi="Calibri" w:cs="Calibri"/>
          <w:sz w:val="26"/>
          <w:szCs w:val="26"/>
        </w:rPr>
        <w:t xml:space="preserve">, конечно же, собственно посланием.</w:t>
      </w:r>
    </w:p>
    <w:p w14:paraId="55A36701" w14:textId="77777777" w:rsidR="00132790" w:rsidRPr="00662115" w:rsidRDefault="00132790">
      <w:pPr>
        <w:rPr>
          <w:sz w:val="26"/>
          <w:szCs w:val="26"/>
        </w:rPr>
      </w:pPr>
    </w:p>
    <w:p w14:paraId="78B37F34" w14:textId="27E6BC35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Я не буду тратить время на чтение здесь этих различных вопросов, но вы видите, что я задаю вопросы, которые довольно конкретно направлены на соотношение 1:1 в качестве фонового или подготовительного утверждения, а также попытку исследовать интерпретативное значение этих элементов на этом фоне. заявление, особенно, я бы сказал, вся эта история с 12 коленами рассеяния. Я хочу сказать немного позже, прежде чем мы перейдем к реальной интерпретации Иакова, о том, что это может означать, такое обозначение может означать, и о его значении. Далее, с точки зрения второго отношения, я уже предположил, что вполне возможно, что главы с 1.2 по 27 включают общие декларации и наставления относительно нравственного торжества христианской жизни над испытаниями и искушениями и возможными обманами посредством мудрости, с одной стороны, и слово о другом.</w:t>
      </w:r>
    </w:p>
    <w:p w14:paraId="1923F909" w14:textId="77777777" w:rsidR="00132790" w:rsidRPr="00662115" w:rsidRDefault="00132790">
      <w:pPr>
        <w:rPr>
          <w:sz w:val="26"/>
          <w:szCs w:val="26"/>
        </w:rPr>
      </w:pPr>
    </w:p>
    <w:p w14:paraId="14158D96" w14:textId="77777777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И мы рассмотрим это более конкретно </w:t>
      </w:r>
      <w:proofErr xmlns:w="http://schemas.openxmlformats.org/wordprocessingml/2006/main" w:type="gramStart"/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и детально, </w:t>
      </w:r>
      <w:proofErr xmlns:w="http://schemas.openxmlformats.org/wordprocessingml/2006/main" w:type="gramEnd"/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когда будем рассматривать опрос сегмента и его интерпретацию. Но у вас есть инструментальная роль мудрости, представленная здесь в 1.5-8. Если кому-то из вас недостает мудрости, пусть просит у Бога, дающего всем людям щедро и без упреков, и будет ему дано. Но пусть просит с верой, без сомнения, ибо сомневающийся подобен морской волне, гонимой и развеваемой ветром.</w:t>
      </w:r>
    </w:p>
    <w:p w14:paraId="19E579A1" w14:textId="77777777" w:rsidR="00132790" w:rsidRPr="00662115" w:rsidRDefault="00132790">
      <w:pPr>
        <w:rPr>
          <w:sz w:val="26"/>
          <w:szCs w:val="26"/>
        </w:rPr>
      </w:pPr>
    </w:p>
    <w:p w14:paraId="1377C991" w14:textId="7879681A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Ибо такой человек не должен думать, что двоедушный человек, неустойчивый во всех своих путях, получит что-нибудь от Господа. И тогда инструментальная роль слова в том, чтобы сделать возможным, как я говорю, исполнение этих указаний относительно нравственного торжества христианской жизни над испытаниями и искушениями и над возможным обманом, действительно обнаруживается в 1:23-25. Но будьте делателями. слова, а не слушатели, только обманывающие самих себя.</w:t>
      </w:r>
    </w:p>
    <w:p w14:paraId="757C7C5D" w14:textId="77777777" w:rsidR="00132790" w:rsidRPr="00662115" w:rsidRDefault="00132790">
      <w:pPr>
        <w:rPr>
          <w:sz w:val="26"/>
          <w:szCs w:val="26"/>
        </w:rPr>
      </w:pPr>
    </w:p>
    <w:p w14:paraId="43BC00EF" w14:textId="77777777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Ибо если кто слушает слово, а не делает, то он подобен человеку, который рассматривает свое природное лицо в зеркале. Ибо он наблюдает за собой, уходит и тотчас же забывает, каким он был. Но тот, кто всматривается в совершенный закон, закон свободы, и упорствует, будучи не слушателем, который забывает, а делателем, который действует, тот будет благословен в своих делах.</w:t>
      </w:r>
    </w:p>
    <w:p w14:paraId="1E7CA220" w14:textId="77777777" w:rsidR="00132790" w:rsidRPr="00662115" w:rsidRDefault="00132790">
      <w:pPr>
        <w:rPr>
          <w:sz w:val="26"/>
          <w:szCs w:val="26"/>
        </w:rPr>
      </w:pPr>
    </w:p>
    <w:p w14:paraId="2E645C2D" w14:textId="147DB0C4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Итак, и мудрость, и слово на самом деле представлены как ресурсы, которые приведут к осуществлению той жизни, к которой он в противном случае призывает здесь, в первой главе. Как я уже сказал, это, по крайней мере, один из способов понимания взаимоотношений. И, конечно же, в 2:1–5:20 у нас будут конкретные аргументы и увещевания относительно правильного христианского поведения, включающего обращение с бедными, борьбу с враждующими страстями, терпение, подчинение суверенной воле и действие Бога. .</w:t>
      </w:r>
    </w:p>
    <w:p w14:paraId="5B30E6D0" w14:textId="77777777" w:rsidR="00132790" w:rsidRPr="00662115" w:rsidRDefault="00132790">
      <w:pPr>
        <w:rPr>
          <w:sz w:val="26"/>
          <w:szCs w:val="26"/>
        </w:rPr>
      </w:pPr>
    </w:p>
    <w:p w14:paraId="7E13A9CD" w14:textId="4EF48BC4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Но в процессе он действительно привносит те элементы, которые в общих чертах вводит в первой главе, и развивает их, как я уже пытался показать, в 2:1–5 </w:t>
      </w: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: </w:t>
      </w:r>
      <w:r xmlns:w="http://schemas.openxmlformats.org/wordprocessingml/2006/main" w:rsidR="00443F73">
        <w:rPr>
          <w:rFonts w:ascii="Calibri" w:eastAsia="Calibri" w:hAnsi="Calibri" w:cs="Calibri"/>
          <w:sz w:val="26"/>
          <w:szCs w:val="26"/>
        </w:rPr>
        <w:t xml:space="preserve">20. Кстати, позвольте мне упомянуть здесь кое-что. Я должен упомянуть об этом. Это самое хорошее место, о котором стоит упомянуть.</w:t>
      </w:r>
    </w:p>
    <w:p w14:paraId="5366216C" w14:textId="77777777" w:rsidR="00132790" w:rsidRPr="00662115" w:rsidRDefault="00132790">
      <w:pPr>
        <w:rPr>
          <w:sz w:val="26"/>
          <w:szCs w:val="26"/>
        </w:rPr>
      </w:pPr>
    </w:p>
    <w:p w14:paraId="101D0122" w14:textId="38A2CDD3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Что касается обзора книги, я склоняюсь к тому, чтобы начать с того, что я пытался сделать здесь, а именно работать непосредственно с текстом, делать все, что мы можем с точки зрения структурного анализа, насколько это возможно, с помощью прямого изучение текста и, знаете, все остальное тоже, включая выявление высших критических данных и тому подобное при непосредственном изучении текста, придерживаясь только текста, не обращаясь к второстепенным источникам, как мы делаем опрос. Но тогда моя предвзятость сразу же исключается из опроса, поскольку у вас есть доступ к ресурсам. И я знаю, что у некоторых из вас может не быть доступа к такого рода ресурсам, но, если у вас есть доступ к ресурсам, немедленно прочитайте одно, два или три обсуждения, своего рода введения к книге.</w:t>
      </w:r>
    </w:p>
    <w:p w14:paraId="43C1211C" w14:textId="77777777" w:rsidR="00132790" w:rsidRPr="00662115" w:rsidRDefault="00132790">
      <w:pPr>
        <w:rPr>
          <w:sz w:val="26"/>
          <w:szCs w:val="26"/>
        </w:rPr>
      </w:pPr>
    </w:p>
    <w:p w14:paraId="63200C02" w14:textId="4C5F26A9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И я собираюсь сказать об этом подробнее немного позже, говоря о ресурсах, которые можно использовать, но ресурсом по умолчанию для такого рода вещей являются вступления к Новому Завету, целью и фокусом которых является обсуждение основных вопросов и даже Структура различных библейских книг. И это действительно способ вступить в разговор с учеными, разговор между тем, что вы сами обнаружили при непосредственном изучении текста посредством опроса, и тем, что они говорят по этому поводу. Если вы проделаете то же самое с Иаковом, вы обнаружите, что есть, по крайней мере, несколько ученых, которые отмечают, что это скорее было характерной чертой эпистолографии, написания посланий в греко-римском мире и в еврейском мире. мир тоже в течение первого столетия, чтобы начать с представления основных тем книги в общем виде вначале, а затем развивать эти темы позже в книге.</w:t>
      </w:r>
    </w:p>
    <w:p w14:paraId="5F798496" w14:textId="77777777" w:rsidR="00132790" w:rsidRPr="00662115" w:rsidRDefault="00132790">
      <w:pPr>
        <w:rPr>
          <w:sz w:val="26"/>
          <w:szCs w:val="26"/>
        </w:rPr>
      </w:pPr>
    </w:p>
    <w:p w14:paraId="53E062DB" w14:textId="3572DB4B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Итак, Люк Тимоти Джонсон, например, который очень полезно рассуждает о структуре Джеймса, говорит о том, что это именно то, чего ожидали и искали читатели первого века. И поэтому, хотя подобные вещи могут показаться не такими очевидными современным людям, они были бы гораздо более очевидными для людей первого века, у которых были такого рода ожидания от чтения, такого рода структурные ожидания в отношении посланий того времени. Не то чтобы каждое послание, на самом деле, было явно так, что не каждое новозаветное послание структурировано таким образом, но часто послания были построены именно так, и поэтому люди были как бы, можно сказать, настроены на то, чтобы увидеть такого рода вещи и распознавать ее, даже если в наших глазах это может быть не так очевидно на поверхности.</w:t>
      </w:r>
    </w:p>
    <w:p w14:paraId="623D48C5" w14:textId="77777777" w:rsidR="00132790" w:rsidRPr="00662115" w:rsidRDefault="00132790">
      <w:pPr>
        <w:rPr>
          <w:sz w:val="26"/>
          <w:szCs w:val="26"/>
        </w:rPr>
      </w:pPr>
    </w:p>
    <w:p w14:paraId="641D85E8" w14:textId="791E5281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Что ж, еще одна структурная особенность, которая у нас здесь есть, и еще раз, я поднимаю вопросы относительно всего этого, всех этих вещей, но дальнейшие структурные отношения, которые у нас вполне могут быть, </w:t>
      </w:r>
      <w:proofErr xmlns:w="http://schemas.openxmlformats.org/wordprocessingml/2006/main" w:type="gramStart"/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— это </w:t>
      </w:r>
      <w:proofErr xmlns:w="http://schemas.openxmlformats.org/wordprocessingml/2006/main" w:type="gramEnd"/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повторение причинности и обоснования, и это особый вид повторения причинности и обоснования, который мы часто встречаем в эпистолярном материале или, даже шире, в дискурсивном материале. Оно предполагает постоянное перемещение вперед и назад между повелительным и изъявительным наклонениями, и мы называем это наставлением. Простите меня за опечатку; Я не уловил наставления. </w:t>
      </w: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Наставление, конечно, происходит от слова увещевание, что означает приказ, и относится именно к такого рода вещам.</w:t>
      </w:r>
    </w:p>
    <w:p w14:paraId="5BA6F50A" w14:textId="77777777" w:rsidR="00132790" w:rsidRPr="00662115" w:rsidRDefault="00132790">
      <w:pPr>
        <w:rPr>
          <w:sz w:val="26"/>
          <w:szCs w:val="26"/>
        </w:rPr>
      </w:pPr>
    </w:p>
    <w:p w14:paraId="2F135FB8" w14:textId="18AA445A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Неоднократно богословские декларации вызывают, то есть ведут к увещеваниям, и иногда движение происходит от причины, богословское заявление к следствию, увещеванию, а иногда от следствия, увещеванию к причине. На самом деле, этот наставительный паттерн представляет собой скорее цепочку, так что довольно часто то, что у вас есть в Джеймсе, будет иметь ориентировочный характер, это форма или модус декларативное высказывание, то, что является ориентировочным, было бы богословской причиной, которая затем посредством причинности ведет, следовательно, к императивному повелению. Таким образом, это можно было бы назвать требованием образа жизни, и этот императив сам по себе является не только следствием предыдущего индикатива, но и подкрепляется следующей индикативной, опять же, теологической причиной, которая затем вызывает следующий императив, требование образа жизни, и на и далее так, что один и тот же изъявительный падеж одновременно обосновывает предыдущий императив и является причиной последующего императива.</w:t>
      </w:r>
    </w:p>
    <w:p w14:paraId="154BDC94" w14:textId="77777777" w:rsidR="00132790" w:rsidRPr="00662115" w:rsidRDefault="00132790">
      <w:pPr>
        <w:rPr>
          <w:sz w:val="26"/>
          <w:szCs w:val="26"/>
        </w:rPr>
      </w:pPr>
    </w:p>
    <w:p w14:paraId="1A59DF3A" w14:textId="7907232B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Это важно заметить, потому что на самом деле это касается, ну, во-первых, отношений между мышлением или ориентацией, богословскими убеждениями и жизнью, выражением и воплощением в жизнь; однако на самом деле это связано со структурой христианской жизни. Итак, как я уже сказал, такого рода вещи могут быть очень важными с точки зрения понимания послания и даже богословия и понятия христианской жизни, которые мы имеем в книге. Опять же, я бы поднял вопросы, конкретные, рациональные и подразумеваемые вопросы относительно этой структурной особенности, и опять же, я не буду тратить время на видео, чтобы прочитать все эти конкретные вопросы.</w:t>
      </w:r>
    </w:p>
    <w:p w14:paraId="04D57629" w14:textId="77777777" w:rsidR="00132790" w:rsidRPr="00662115" w:rsidRDefault="00132790">
      <w:pPr>
        <w:rPr>
          <w:sz w:val="26"/>
          <w:szCs w:val="26"/>
        </w:rPr>
      </w:pPr>
    </w:p>
    <w:p w14:paraId="0C22BE51" w14:textId="6E00035B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Кроме того, я думаю, что мы имеем повторяющийся контраст между надлежащим христианским поведением, которое Джеймс называет, по-моему, по сути, дружбой с Богом, фразу, которую вы встретите дважды в этой книге. Ты нашел это. Прежде всего, в 2:23 Авраам поверил Богу, цитируя Бытие 15: Авраам поверил Богу, и это было зачтено ему в праведность. И затем Иаков продолжает комментировать, и его назвали другом Бога.</w:t>
      </w:r>
    </w:p>
    <w:p w14:paraId="2BEBDE7A" w14:textId="77777777" w:rsidR="00132790" w:rsidRPr="00662115" w:rsidRDefault="00132790">
      <w:pPr>
        <w:rPr>
          <w:sz w:val="26"/>
          <w:szCs w:val="26"/>
        </w:rPr>
      </w:pPr>
    </w:p>
    <w:p w14:paraId="12C2B8E1" w14:textId="77777777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И потом, опять же, в 4 главе, 4 стихе, разве вы не знаете, что дружба с миром есть вражда с Богом? Поэтому кто хочет быть другом миру, тот становится врагом Богу. Итак, то христианское, правильное христианское поведение действительно ориентировано в послании Иакова на высшую реальность, а именно на Бога, дружбу с Богом, тогда как неправильное поведение, ставлю там мои христианские кавычки, но неправильное поведение он описывает с точки зрения дружба с миром. Разумеется, этот контраст встречается повсюду и неоднократно, как в увещеваниях, так и в богословских аргументах.</w:t>
      </w:r>
    </w:p>
    <w:p w14:paraId="533B38F3" w14:textId="77777777" w:rsidR="00132790" w:rsidRPr="00662115" w:rsidRDefault="00132790">
      <w:pPr>
        <w:rPr>
          <w:sz w:val="26"/>
          <w:szCs w:val="26"/>
        </w:rPr>
      </w:pPr>
    </w:p>
    <w:p w14:paraId="2204985F" w14:textId="13EB1E8A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Оно превосходит различие между изъявительным и повелительным наклонением, и здесь вы можете видеть, насколько оно доминирует в послании. Часто подчеркивалось, и, конечно, совершенно очевидно, что Иаков имеет много общего с </w:t>
      </w: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традицией мудрости Ветхого Завета и межзаветного периода, и это было одной из характеристик наставления мудрости в Ветхом Завете. а в иудаизме существует в основном представление о двух путях. Итак, идея состоит в том, что поведение и мышление </w:t>
      </w:r>
      <w:r xmlns:w="http://schemas.openxmlformats.org/wordprocessingml/2006/main" w:rsidR="005378C5">
        <w:rPr>
          <w:rFonts w:ascii="Calibri" w:eastAsia="Calibri" w:hAnsi="Calibri" w:cs="Calibri"/>
          <w:sz w:val="26"/>
          <w:szCs w:val="26"/>
        </w:rPr>
        <w:t xml:space="preserve">не являются фрагментарными, что есть, по сути, два пути, и вы либо идете по одному пути, в одну сторону, либо вы идете по другому пути, и каждый из них включает в себя комплекс мышления и поведения так, что пути противопоставлены друг другу.</w:t>
      </w:r>
    </w:p>
    <w:p w14:paraId="2556430A" w14:textId="77777777" w:rsidR="00132790" w:rsidRPr="00662115" w:rsidRDefault="00132790">
      <w:pPr>
        <w:rPr>
          <w:sz w:val="26"/>
          <w:szCs w:val="26"/>
        </w:rPr>
      </w:pPr>
    </w:p>
    <w:p w14:paraId="795697E4" w14:textId="3DFF540C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Затем, помимо этого, и это, как я уже сказал, то, что у вас есть, то, что вы, кажется, имеете здесь, в Джеймсе, это то, что мы собираем здесь, и снова мы поднимаем вопросы. Я хочу, чтобы вы имели к ним доступ, но опять же, я не буду тратить время на их все чтение. Возможно, здесь, в Джеймсе, у нас есть кульминация, и, на мой взгляд, это может включать в себя сравнение.</w:t>
      </w:r>
    </w:p>
    <w:p w14:paraId="0A0E0E0D" w14:textId="77777777" w:rsidR="00132790" w:rsidRPr="00662115" w:rsidRDefault="00132790">
      <w:pPr>
        <w:rPr>
          <w:sz w:val="26"/>
          <w:szCs w:val="26"/>
        </w:rPr>
      </w:pPr>
    </w:p>
    <w:p w14:paraId="583DC4E4" w14:textId="21593076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На самом деле это имеет отношение к самому последнему утверждению в книге с 5:19 по 20. Братья мои, если кто-нибудь из вас отклонится от истины и кто-нибудь возвратит его, пусть знает, что всякий, кто возвращает грешника от заблуждения путь его спасет душу его от смерти и покроет множество грехов. Итак, с 1-2 по 5:18 мы видим увещевания Иакова, направленные на то, чтобы направить своих читателей на путь истины и от заблуждений.</w:t>
      </w:r>
    </w:p>
    <w:p w14:paraId="54B73332" w14:textId="77777777" w:rsidR="00132790" w:rsidRPr="00662115" w:rsidRDefault="00132790">
      <w:pPr>
        <w:rPr>
          <w:sz w:val="26"/>
          <w:szCs w:val="26"/>
        </w:rPr>
      </w:pPr>
    </w:p>
    <w:p w14:paraId="1333F33D" w14:textId="5464D889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И кстати, совершенно очевидно, что когда он говорит об истине и заблуждении, он говорит не, конечно, не исключительно о богословской истине и богословской ошибке, а более целостно. Другими словами, истина связана как с мышлением, так и с поведением, которое вытекает из мышления, правильного мышления, а ошибка связана с неправильным мышлением и поведением, которое вытекает из неправильного мышления. Итак, вопрос об истине и ошибке не является просто когнитивным или интеллектуальным; это целостно.</w:t>
      </w:r>
    </w:p>
    <w:p w14:paraId="4B07181E" w14:textId="77777777" w:rsidR="00132790" w:rsidRPr="00662115" w:rsidRDefault="00132790">
      <w:pPr>
        <w:rPr>
          <w:sz w:val="26"/>
          <w:szCs w:val="26"/>
        </w:rPr>
      </w:pPr>
    </w:p>
    <w:p w14:paraId="6A351023" w14:textId="760F2EA7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Но увещевания Иакова направлены на то, чтобы направить своих читателей на путь истины и от заблуждений, что приводит к этому решающему утверждению в 5:19-20, которое включает в себя заключительный совет читателям, читателям продолжать ту же самую пастырскую работу, совершать те же самые вещи, которые Иаков пытается сделать в самом этом послании. Вот тут-то и получится сравнение. Продолжайте ту же пастырскую работу по руководству и исправлению, которую проводил Иаков в самой книге, и чтобы читатели могли воспользоваться этим служением со стороны других членов церкви, насколько они в этом нуждаются.</w:t>
      </w:r>
    </w:p>
    <w:p w14:paraId="10B8F55F" w14:textId="77777777" w:rsidR="00132790" w:rsidRPr="00662115" w:rsidRDefault="00132790">
      <w:pPr>
        <w:rPr>
          <w:sz w:val="26"/>
          <w:szCs w:val="26"/>
        </w:rPr>
      </w:pPr>
    </w:p>
    <w:p w14:paraId="22A9EB25" w14:textId="3BD3E42D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Та же самая практика пастырской заботы и наставления в книге должна осуществляться другими людьми в реальном мире читателя согласно 5:19-20. Опять же, все, что мы наблюдаем и исследуем, является предварительным. Это не означает, что в конечном итоге это окажется правильным, но на самом деле в опросе важно, чтобы сделанные вами наблюдения были правдоподобными.</w:t>
      </w:r>
    </w:p>
    <w:p w14:paraId="6BAEB5AB" w14:textId="77777777" w:rsidR="00132790" w:rsidRPr="00662115" w:rsidRDefault="00132790">
      <w:pPr>
        <w:rPr>
          <w:sz w:val="26"/>
          <w:szCs w:val="26"/>
        </w:rPr>
      </w:pPr>
    </w:p>
    <w:p w14:paraId="287C490C" w14:textId="77777777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На более поздних этапах изучения, включая интерпретацию, может оказаться, что некоторые наблюдения, сделанные вами в обзоре книг, по вашему мнению, неверны </w:t>
      </w: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и их необходимо изменить. С этим нет проблем. Процесс, как я упоминал ранее, является самокорректирующимся, но вам нужно с чего-то начинать, а обзор — это направление книги.</w:t>
      </w:r>
    </w:p>
    <w:p w14:paraId="430B28CD" w14:textId="77777777" w:rsidR="00132790" w:rsidRPr="00662115" w:rsidRDefault="00132790">
      <w:pPr>
        <w:rPr>
          <w:sz w:val="26"/>
          <w:szCs w:val="26"/>
        </w:rPr>
      </w:pPr>
    </w:p>
    <w:p w14:paraId="1E291957" w14:textId="77777777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Вы извлекаете из этих вещей максимум пользы, насколько можете, зная, что у вас есть много возможностей исправить любые </w:t>
      </w:r>
      <w:proofErr xmlns:w="http://schemas.openxmlformats.org/wordprocessingml/2006/main" w:type="spellStart"/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неверные наблюдения </w:t>
      </w:r>
      <w:proofErr xmlns:w="http://schemas.openxmlformats.org/wordprocessingml/2006/main" w:type="spellEnd"/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по мере продвижения вперед. И снова у нас есть вопросы, которые я подниму, и вы можете остановиться, посмотреть на них и тщательно над ними, если хотите, но сейчас я не буду тратить время на их чтение. По сути, это мое понимание обзора книги в целом.</w:t>
      </w:r>
    </w:p>
    <w:p w14:paraId="29BDE26B" w14:textId="77777777" w:rsidR="00132790" w:rsidRPr="00662115" w:rsidRDefault="00132790">
      <w:pPr>
        <w:rPr>
          <w:sz w:val="26"/>
          <w:szCs w:val="26"/>
        </w:rPr>
      </w:pPr>
    </w:p>
    <w:p w14:paraId="74A3E51B" w14:textId="1CC9F0BA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Ключевые и стратегические области, которые представляют собой основные структурные отношения. Счет 1:1, конечно, будет означать реализацию подготовки. Мне кажется, с 1:5 по 8, с 1:12 по 18 и с 1:22 по 25 представляют собой детализация с помощью инструментов.</w:t>
      </w:r>
    </w:p>
    <w:p w14:paraId="4E992C87" w14:textId="77777777" w:rsidR="00132790" w:rsidRPr="00662115" w:rsidRDefault="00132790">
      <w:pPr>
        <w:rPr>
          <w:sz w:val="26"/>
          <w:szCs w:val="26"/>
        </w:rPr>
      </w:pPr>
    </w:p>
    <w:p w14:paraId="654E0A49" w14:textId="4EBC9DEA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Здесь, конечно, вы улавливаете мудрость в 1:5–8 и слово в 1:22–25, но также и всю эту историю испытаний и искушений в 1:12–18, которые в основном развиваются в остальной части книги. Это также представляет собой повторение причинно-следственной связи и обоснования, которое является назидательным образцом, который мы только что описали, и повторение контраста между двумя способами, которые, конечно, также представлены в этих стихах. С 2.14 по 26 здесь обсуждается роль веры.</w:t>
      </w:r>
    </w:p>
    <w:p w14:paraId="7DED8B27" w14:textId="77777777" w:rsidR="00132790" w:rsidRPr="00662115" w:rsidRDefault="00132790">
      <w:pPr>
        <w:rPr>
          <w:sz w:val="26"/>
          <w:szCs w:val="26"/>
        </w:rPr>
      </w:pPr>
    </w:p>
    <w:p w14:paraId="1D0041F1" w14:textId="4BE48DEE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Вера и дела представляют собой повторение причинности и обоснования и повторение контраста, а затем с 5:19 по 20, возможно, как я уже упоминал, завершается сравнением, и этот отрывок тогда будет ключевым отрывком на основе этой структуры. . Затем, что касается данных, касающихся более важных вопросов, автор идентифицирует себя, по крайней мере, как Джеймс с точки зрения его статуса или функции. Он описывает себя как слугу Божьего, Господа Иисуса Христа.</w:t>
      </w:r>
    </w:p>
    <w:p w14:paraId="2DEE8E3F" w14:textId="77777777" w:rsidR="00132790" w:rsidRPr="00662115" w:rsidRDefault="00132790">
      <w:pPr>
        <w:rPr>
          <w:sz w:val="26"/>
          <w:szCs w:val="26"/>
        </w:rPr>
      </w:pPr>
    </w:p>
    <w:p w14:paraId="33D3DC9B" w14:textId="77777777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Мы здесь ничего не предполагаем, поэтому отметим, что он мог быть евреем. Мы неоднократно ссылались на закон и неоднократно упоминали персонажей Ветхого Завета. Совершенно очевидно, что писатель-язычник мог бы использовать еврейские писания, и я буду постоянно на это ссылаться, но тот факт, что это происходит, что автор делает такого рода ссылки таким образом и с такой частотой мог бы предложить еврейского писателя.</w:t>
      </w:r>
    </w:p>
    <w:p w14:paraId="61C2F85A" w14:textId="77777777" w:rsidR="00132790" w:rsidRPr="00662115" w:rsidRDefault="00132790">
      <w:pPr>
        <w:rPr>
          <w:sz w:val="26"/>
          <w:szCs w:val="26"/>
        </w:rPr>
      </w:pPr>
    </w:p>
    <w:p w14:paraId="0FBE90EE" w14:textId="0DAEDA00" w:rsidR="00132790" w:rsidRPr="00662115" w:rsidRDefault="005378C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Есть, конечно, и неоднократные упоминания о мудрости, что опять-таки может наводить на мысль о еврейском писателе. Получатели описаны с точки зрения местоположения в рассеянии, но мы действительно не знаем, что это означает и использует ли он рассеяние в буквальном, географическом или богословском смысле. Видите ли, когда вы выявляете более важные данные на этапе обзора книги, у вас нет другого выбора, кроме как предпринять определенные интерпретационные шаги, к которым вы на самом деле не готовы на данном этапе.</w:t>
      </w:r>
    </w:p>
    <w:p w14:paraId="1CCAB415" w14:textId="77777777" w:rsidR="00132790" w:rsidRPr="00662115" w:rsidRDefault="00132790">
      <w:pPr>
        <w:rPr>
          <w:sz w:val="26"/>
          <w:szCs w:val="26"/>
        </w:rPr>
      </w:pPr>
    </w:p>
    <w:p w14:paraId="276B5742" w14:textId="5DAF220F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Вот почему я говорю, что все, что мы определяем, включая более важные данные в книге и то, на что эти данные могут указывать с точки зрения этих фоновых проблем, является предварительным. Но в любом случае, он может иметь в виду их физическое местоположение, когда говорит здесь о дисперсии 1 </w:t>
      </w:r>
      <w:r xmlns:w="http://schemas.openxmlformats.org/wordprocessingml/2006/main" w:rsidR="005378C5">
        <w:rPr>
          <w:rFonts w:ascii="Calibri" w:eastAsia="Calibri" w:hAnsi="Calibri" w:cs="Calibri"/>
          <w:sz w:val="26"/>
          <w:szCs w:val="26"/>
        </w:rPr>
        <w:t xml:space="preserve">:1. Возможно, это были евреи. Конечно, в 1:1 есть ссылка на двенадцать колен рассеяния, хотя это можно понимать и метафорически, и не обязательно с этнической или расовой точки зрения.</w:t>
      </w:r>
    </w:p>
    <w:p w14:paraId="5BFF3958" w14:textId="77777777" w:rsidR="00132790" w:rsidRPr="00662115" w:rsidRDefault="00132790">
      <w:pPr>
        <w:rPr>
          <w:sz w:val="26"/>
          <w:szCs w:val="26"/>
        </w:rPr>
      </w:pPr>
    </w:p>
    <w:p w14:paraId="6947D1EA" w14:textId="689D5041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Авраам назван нашим отцом в 2.21. Опять же, обычно, конечно, между Павлом и Иаковом проводится довольно большое различие, особенно во второй главе. Мы собираемся поговорить об этом. Но совершенно ясно, что, по крайней мере, Павел считает Авраама отцом всех верующих, а не только евреев. Таким образом, это не обязательно означает, что это были читатели-евреи или читатели-евреи-христиане, но это может указывать на это.</w:t>
      </w:r>
    </w:p>
    <w:p w14:paraId="034CDBE6" w14:textId="77777777" w:rsidR="00132790" w:rsidRPr="00662115" w:rsidRDefault="00132790">
      <w:pPr>
        <w:rPr>
          <w:sz w:val="26"/>
          <w:szCs w:val="26"/>
        </w:rPr>
      </w:pPr>
    </w:p>
    <w:p w14:paraId="369CAA85" w14:textId="4A051D1D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Возможно, они терпели испытания и гонения, особенно со стороны богатых людей, и, возможно, испытывали серьезные распри в церкви. Позвольте мне только упомянуть, что существует глубоко укоренившаяся практика, особенно в изучении Нового Завета, которая действует на основе того, что если писатель, особенно эпистолярный автор, делает что-то большое, подчеркивает что-то, это указывает на то, что это было либо проблемой, либо потенциальной проблемой среди читательской аудитории. Это называется зеркальным чтением.</w:t>
      </w:r>
    </w:p>
    <w:p w14:paraId="3346915A" w14:textId="77777777" w:rsidR="00132790" w:rsidRPr="00662115" w:rsidRDefault="00132790">
      <w:pPr>
        <w:rPr>
          <w:sz w:val="26"/>
          <w:szCs w:val="26"/>
        </w:rPr>
      </w:pPr>
    </w:p>
    <w:p w14:paraId="3542FCCB" w14:textId="77777777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В последнее время вся эта практика подверглась серьезной критике. Итак, важно осознавать, что в принципе, конечно, верно, что просто потому, что писатель поднимает какую-то проблему, не обязательно означает, что это была проблема в церкви. Возможно, он просто считает важным, чтобы все христиане, независимо от их ситуации, слышали и знали об этом.</w:t>
      </w:r>
    </w:p>
    <w:p w14:paraId="65E8BC14" w14:textId="77777777" w:rsidR="00132790" w:rsidRPr="00662115" w:rsidRDefault="00132790">
      <w:pPr>
        <w:rPr>
          <w:sz w:val="26"/>
          <w:szCs w:val="26"/>
        </w:rPr>
      </w:pPr>
    </w:p>
    <w:p w14:paraId="2C843E48" w14:textId="07A0079E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Но это может указывать на проблему среди получателей. И поэтому мы упоминаем об этом и говорим об этом, используя очень осторожные формулировки. Возможно, они пережили испытания и преследования, особенно со стороны богатых.</w:t>
      </w:r>
    </w:p>
    <w:p w14:paraId="68562306" w14:textId="77777777" w:rsidR="00132790" w:rsidRPr="00662115" w:rsidRDefault="00132790">
      <w:pPr>
        <w:rPr>
          <w:sz w:val="26"/>
          <w:szCs w:val="26"/>
        </w:rPr>
      </w:pPr>
    </w:p>
    <w:p w14:paraId="4B8A9956" w14:textId="2150E3A2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И, кстати, есть определенные заявления, которые он делает, которые на самом деле предполагают, что это может быть так. Например, 2,6, разве вас не угнетают богатые? Не они ли тащат вас в суд? Не они ли хулят честное имя, которое было произнесено о тебе? И тому подобное, что звучит, по крайней мере на первый взгляд, ситуативно и, возможно, вызывает серьезные распри в церкви. Опять же, он говорит об этом и подчеркивает это в 3.1–4.12. Что касается повода для написания и того, что могло побудить к написанию этой книги, то, возможно, одним из них были испытания и преследования со стороны богатых, которые могли вызвать у читателей разочарование и нетерпение.</w:t>
      </w:r>
    </w:p>
    <w:p w14:paraId="1F295142" w14:textId="77777777" w:rsidR="00132790" w:rsidRPr="00662115" w:rsidRDefault="00132790">
      <w:pPr>
        <w:rPr>
          <w:sz w:val="26"/>
          <w:szCs w:val="26"/>
        </w:rPr>
      </w:pPr>
    </w:p>
    <w:p w14:paraId="0F1F22BA" w14:textId="77777777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Опять же, здесь вы можете увидеть показания зеркала, с которыми нам следует быть осторожными. И, кстати, я бы сказал, что особенно осторожно следует относиться к этому зеркальному чтению, когда мы говорим об общих посланиях, а не о тех, которые включают в себя, </w:t>
      </w: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по крайней мере, большинство посланий Павла, которые были явно адресованы конкретным собраниям и тому подобное. В этих общих посланиях нет той конкретики, по крайней мере, явной, в отношении конкретных церквей, о которой здесь могло идти речь.</w:t>
      </w:r>
    </w:p>
    <w:p w14:paraId="3883F391" w14:textId="77777777" w:rsidR="00132790" w:rsidRPr="00662115" w:rsidRDefault="00132790">
      <w:pPr>
        <w:rPr>
          <w:sz w:val="26"/>
          <w:szCs w:val="26"/>
        </w:rPr>
      </w:pPr>
    </w:p>
    <w:p w14:paraId="3923CBC8" w14:textId="1500227D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Итак, вы должны оставить место для возможности того, что Иаков, например, является настоящим генеральным посланием, что оно разослано различным церквям и что то, о чем он говорит, он считает, возможно, потенциальными проблемами или вещами, о которых он думает. важно, чтобы все христиане слышали и знали о них, но они не вызваны конкретными проблемами в положении церквей. С другой стороны, это могло быть вызвано тем, что он, по крайней мере, считал определенной конкретной проблемой в некоторых из тех мест, где, как он знал, будет находиться это послание, где, как он знал, оно будет получено. Несколько серьезных проблем связаны с влиянием христианской жизни на этих читателей, по крайней мере фактическим или потенциальным, включая искушение приписать проблемы Богу, игнорируя при этом добрые дары Бога, тенденцию отделять веру от действий, пристрастие, проявляемое к богатым, посещающим христианские собрания, и гневные и злые клеветнические речи с угрозой разрушить христианское общение, и другие основные впечатления, относящиеся к книге в целом, вот лишь пара вещей.</w:t>
      </w:r>
    </w:p>
    <w:p w14:paraId="2D4D83C9" w14:textId="77777777" w:rsidR="00132790" w:rsidRPr="00662115" w:rsidRDefault="00132790">
      <w:pPr>
        <w:rPr>
          <w:sz w:val="26"/>
          <w:szCs w:val="26"/>
        </w:rPr>
      </w:pPr>
    </w:p>
    <w:p w14:paraId="11C57E7A" w14:textId="77777777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Тонерная атмосфера часто оказывается весьма полезной. Позже, когда мы будем рассматривать процесс интерпретации, мы поговорим о роли атмосферы тонера, ощущения от книг или ощущений от отрывков и о том, как это может на самом деле повлиять на их интерпретацию. Я думаю, что для этой книги характерна двойственность между гневом и мягкостью.</w:t>
      </w:r>
    </w:p>
    <w:p w14:paraId="6091DA98" w14:textId="77777777" w:rsidR="00132790" w:rsidRPr="00662115" w:rsidRDefault="00132790">
      <w:pPr>
        <w:rPr>
          <w:sz w:val="26"/>
          <w:szCs w:val="26"/>
        </w:rPr>
      </w:pPr>
    </w:p>
    <w:p w14:paraId="567BF5F9" w14:textId="15A96C8D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Читатель чувствует накал праведного негодования со стороны писателя. «Хочешь, чтобы тебе показали, мелкий человек», — говорит он в 220, но при этом чувствует теплую нежность пастырского пастыря. Не обманывайтесь, возлюбленные братья мои.</w:t>
      </w:r>
    </w:p>
    <w:p w14:paraId="6C983BDA" w14:textId="77777777" w:rsidR="00132790" w:rsidRPr="00662115" w:rsidRDefault="00132790">
      <w:pPr>
        <w:rPr>
          <w:sz w:val="26"/>
          <w:szCs w:val="26"/>
        </w:rPr>
      </w:pPr>
    </w:p>
    <w:p w14:paraId="273D17B4" w14:textId="0967EB2E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Отметим также, что имеется несколько отсылок к природе, и иллюстрации Джеймса в целом довольно яркие. Итак, совершенно ясно Иаков видит связь между действиями Бога, Божьим откровением в природе и тем, что мы могли бы назвать особым откровением, откровением Божьим в Его слове и через Евангелие. Так что это будет настоящий обзор Джеймса.</w:t>
      </w:r>
    </w:p>
    <w:p w14:paraId="6DC31174" w14:textId="77777777" w:rsidR="00132790" w:rsidRPr="00662115" w:rsidRDefault="00132790">
      <w:pPr>
        <w:rPr>
          <w:sz w:val="26"/>
          <w:szCs w:val="26"/>
        </w:rPr>
      </w:pPr>
    </w:p>
    <w:p w14:paraId="6F8190C4" w14:textId="16782E5A" w:rsidR="00132790" w:rsidRPr="006621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На самом деле это может быть хорошим моментом, чтобы сделать паузу на перерыв. </w:t>
      </w:r>
      <w:r xmlns:w="http://schemas.openxmlformats.org/wordprocessingml/2006/main" w:rsidR="00662115" w:rsidRPr="0066211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62115" w:rsidRPr="0066211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62115">
        <w:rPr>
          <w:rFonts w:ascii="Calibri" w:eastAsia="Calibri" w:hAnsi="Calibri" w:cs="Calibri"/>
          <w:sz w:val="26"/>
          <w:szCs w:val="26"/>
        </w:rPr>
        <w:t xml:space="preserve">Это доктор Дэвид Бауэр в своем учении об индуктивном изучении Библии. Это занятие 9, Книжный обзор, Джеймс.</w:t>
      </w:r>
    </w:p>
    <w:sectPr w:rsidR="00132790" w:rsidRPr="0066211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32BD" w14:textId="77777777" w:rsidR="00D2191A" w:rsidRDefault="00D2191A" w:rsidP="00662115">
      <w:r>
        <w:separator/>
      </w:r>
    </w:p>
  </w:endnote>
  <w:endnote w:type="continuationSeparator" w:id="0">
    <w:p w14:paraId="2808D276" w14:textId="77777777" w:rsidR="00D2191A" w:rsidRDefault="00D2191A" w:rsidP="0066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B35A" w14:textId="77777777" w:rsidR="00D2191A" w:rsidRDefault="00D2191A" w:rsidP="00662115">
      <w:r>
        <w:separator/>
      </w:r>
    </w:p>
  </w:footnote>
  <w:footnote w:type="continuationSeparator" w:id="0">
    <w:p w14:paraId="4C118E27" w14:textId="77777777" w:rsidR="00D2191A" w:rsidRDefault="00D2191A" w:rsidP="0066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27988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3FAB37" w14:textId="6B4F5FFF" w:rsidR="00662115" w:rsidRDefault="0066211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A0E0385" w14:textId="77777777" w:rsidR="00662115" w:rsidRDefault="00662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62559"/>
    <w:multiLevelType w:val="hybridMultilevel"/>
    <w:tmpl w:val="266430A8"/>
    <w:lvl w:ilvl="0" w:tplc="025A7E8E">
      <w:start w:val="1"/>
      <w:numFmt w:val="bullet"/>
      <w:lvlText w:val="●"/>
      <w:lvlJc w:val="left"/>
      <w:pPr>
        <w:ind w:left="720" w:hanging="360"/>
      </w:pPr>
    </w:lvl>
    <w:lvl w:ilvl="1" w:tplc="9DA43E3A">
      <w:start w:val="1"/>
      <w:numFmt w:val="bullet"/>
      <w:lvlText w:val="○"/>
      <w:lvlJc w:val="left"/>
      <w:pPr>
        <w:ind w:left="1440" w:hanging="360"/>
      </w:pPr>
    </w:lvl>
    <w:lvl w:ilvl="2" w:tplc="A6F458C0">
      <w:start w:val="1"/>
      <w:numFmt w:val="bullet"/>
      <w:lvlText w:val="■"/>
      <w:lvlJc w:val="left"/>
      <w:pPr>
        <w:ind w:left="2160" w:hanging="360"/>
      </w:pPr>
    </w:lvl>
    <w:lvl w:ilvl="3" w:tplc="105CFA46">
      <w:start w:val="1"/>
      <w:numFmt w:val="bullet"/>
      <w:lvlText w:val="●"/>
      <w:lvlJc w:val="left"/>
      <w:pPr>
        <w:ind w:left="2880" w:hanging="360"/>
      </w:pPr>
    </w:lvl>
    <w:lvl w:ilvl="4" w:tplc="D1CC1EC2">
      <w:start w:val="1"/>
      <w:numFmt w:val="bullet"/>
      <w:lvlText w:val="○"/>
      <w:lvlJc w:val="left"/>
      <w:pPr>
        <w:ind w:left="3600" w:hanging="360"/>
      </w:pPr>
    </w:lvl>
    <w:lvl w:ilvl="5" w:tplc="475279A6">
      <w:start w:val="1"/>
      <w:numFmt w:val="bullet"/>
      <w:lvlText w:val="■"/>
      <w:lvlJc w:val="left"/>
      <w:pPr>
        <w:ind w:left="4320" w:hanging="360"/>
      </w:pPr>
    </w:lvl>
    <w:lvl w:ilvl="6" w:tplc="41C809B8">
      <w:start w:val="1"/>
      <w:numFmt w:val="bullet"/>
      <w:lvlText w:val="●"/>
      <w:lvlJc w:val="left"/>
      <w:pPr>
        <w:ind w:left="5040" w:hanging="360"/>
      </w:pPr>
    </w:lvl>
    <w:lvl w:ilvl="7" w:tplc="2DE8687A">
      <w:start w:val="1"/>
      <w:numFmt w:val="bullet"/>
      <w:lvlText w:val="●"/>
      <w:lvlJc w:val="left"/>
      <w:pPr>
        <w:ind w:left="5760" w:hanging="360"/>
      </w:pPr>
    </w:lvl>
    <w:lvl w:ilvl="8" w:tplc="90905488">
      <w:start w:val="1"/>
      <w:numFmt w:val="bullet"/>
      <w:lvlText w:val="●"/>
      <w:lvlJc w:val="left"/>
      <w:pPr>
        <w:ind w:left="6480" w:hanging="360"/>
      </w:pPr>
    </w:lvl>
  </w:abstractNum>
  <w:num w:numId="1" w16cid:durableId="19438810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90"/>
    <w:rsid w:val="00132790"/>
    <w:rsid w:val="00443F73"/>
    <w:rsid w:val="005378C5"/>
    <w:rsid w:val="00662115"/>
    <w:rsid w:val="00D2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36FD3"/>
  <w15:docId w15:val="{F698B4DD-A184-4330-85E2-AC71DF0C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2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115"/>
  </w:style>
  <w:style w:type="paragraph" w:styleId="Footer">
    <w:name w:val="footer"/>
    <w:basedOn w:val="Normal"/>
    <w:link w:val="FooterChar"/>
    <w:uiPriority w:val="99"/>
    <w:unhideWhenUsed/>
    <w:rsid w:val="00662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5121</Words>
  <Characters>23792</Characters>
  <Application>Microsoft Office Word</Application>
  <DocSecurity>0</DocSecurity>
  <Lines>432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Bauer Inductive Bible Study Lecture09</vt:lpstr>
    </vt:vector>
  </TitlesOfParts>
  <Company/>
  <LinksUpToDate>false</LinksUpToDate>
  <CharactersWithSpaces>28856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Bauer Inductive Bible Study Lecture09</dc:title>
  <dc:creator>TurboScribe.ai</dc:creator>
  <cp:lastModifiedBy>Ted Hildebrandt</cp:lastModifiedBy>
  <cp:revision>3</cp:revision>
  <dcterms:created xsi:type="dcterms:W3CDTF">2024-02-04T18:54:00Z</dcterms:created>
  <dcterms:modified xsi:type="dcterms:W3CDTF">2024-04-06T20:51:00Z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fd0d02d6327d9115c6508015baaae41b9a402199ea53f10fe2bf66b387b0d18a</vt:lpwstr>
  </property>
</Properties>
</file>