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E7AFF" w14:textId="7C497A58" w:rsidR="00BB55F3" w:rsidRDefault="00000000" w:rsidP="00F0496C">
      <w:pPr>
        <w:spacing w:after="80"/>
        <w:jc w:val="center"/>
      </w:pPr>
      <w:r>
        <w:rPr>
          <w:rFonts w:ascii="Calibri" w:hAnsi="Calibri"/>
          <w:b/>
          <w:color w:val="1F4E79"/>
          <w:sz w:val="36"/>
        </w:rPr>
        <w:t>Proverbs: The Capable Woman (Proverbs 31:10–31)</w:t>
      </w:r>
    </w:p>
    <w:p w14:paraId="0C113D8A" w14:textId="76FFEC63" w:rsidR="00BB55F3" w:rsidRDefault="00000000" w:rsidP="00F0496C">
      <w:pPr>
        <w:spacing w:after="360"/>
        <w:jc w:val="center"/>
      </w:pPr>
      <w:r>
        <w:rPr>
          <w:rFonts w:ascii="Calibri" w:hAnsi="Calibri"/>
          <w:i/>
          <w:color w:val="595959"/>
        </w:rPr>
        <w:t xml:space="preserve">Author: Dr. Knut Heim | Session 20 </w:t>
      </w:r>
      <w:r w:rsidR="00F0496C">
        <w:rPr>
          <w:rFonts w:ascii="Calibri" w:hAnsi="Calibri"/>
          <w:i/>
          <w:color w:val="595959"/>
        </w:rPr>
        <w:br/>
      </w:r>
      <w:r>
        <w:rPr>
          <w:rFonts w:ascii="Calibri" w:hAnsi="Calibri"/>
          <w:i/>
          <w:color w:val="595959"/>
        </w:rPr>
        <w:t>Sponsored by Biblicalelearning.org by Ted Hildebrandt</w:t>
      </w:r>
    </w:p>
    <w:p w14:paraId="0C7293C1" w14:textId="77777777" w:rsidR="00BB55F3" w:rsidRDefault="00000000">
      <w:pPr>
        <w:spacing w:before="240" w:after="80"/>
      </w:pPr>
      <w:r>
        <w:rPr>
          <w:rFonts w:ascii="Calibri" w:hAnsi="Calibri"/>
          <w:b/>
          <w:color w:val="1F4E79"/>
          <w:sz w:val="28"/>
        </w:rPr>
        <w:t>Keywords</w:t>
      </w:r>
    </w:p>
    <w:p w14:paraId="229B0491" w14:textId="77777777" w:rsidR="00BB55F3" w:rsidRDefault="00000000">
      <w:pPr>
        <w:spacing w:after="280"/>
      </w:pPr>
      <w:r>
        <w:rPr>
          <w:rFonts w:ascii="Calibri" w:hAnsi="Calibri"/>
        </w:rPr>
        <w:t>Proverbs 31, Eshet Hayil, Knut Heim, Capable Woman, Noble Character, Entrepreneurship, Wisdom Literature, Social Justice, Hebrew Acrostic</w:t>
      </w:r>
    </w:p>
    <w:p w14:paraId="300B0405" w14:textId="77777777" w:rsidR="00BB55F3" w:rsidRDefault="00000000">
      <w:pPr>
        <w:spacing w:before="240" w:after="80"/>
      </w:pPr>
      <w:r>
        <w:rPr>
          <w:rFonts w:ascii="Calibri" w:hAnsi="Calibri"/>
          <w:b/>
          <w:color w:val="1F4E79"/>
          <w:sz w:val="28"/>
        </w:rPr>
        <w:t>Abstract</w:t>
      </w:r>
    </w:p>
    <w:p w14:paraId="31A60963" w14:textId="77777777" w:rsidR="00BB55F3" w:rsidRDefault="00000000">
      <w:pPr>
        <w:spacing w:after="280"/>
      </w:pPr>
      <w:r>
        <w:rPr>
          <w:rFonts w:ascii="Calibri" w:hAnsi="Calibri"/>
        </w:rPr>
        <w:t>In this final lecture on the book of Proverbs, Dr. Knut Heim examines the alphabetic acrostic poem of the capable woman in Proverbs 31:10–31. He explores its structural connection to King Lemuel's mother's warnings, highlighting how the Hebrew term Eshet Hayil portrays an enterprising, martial-level woman of dignity, strength, and wisdom. Rather than imposing domestic guilt, the text serves as both a literal inspiration for human excellence and a personification of divine wisdom grounded in the fear of the Lord.</w:t>
      </w:r>
    </w:p>
    <w:p w14:paraId="49C2DF13" w14:textId="77777777" w:rsidR="00BB55F3" w:rsidRDefault="00000000">
      <w:pPr>
        <w:spacing w:before="240" w:after="120"/>
      </w:pPr>
      <w:r>
        <w:rPr>
          <w:rFonts w:ascii="Calibri" w:hAnsi="Calibri"/>
          <w:b/>
          <w:color w:val="1F4E79"/>
          <w:sz w:val="28"/>
        </w:rPr>
        <w:t>Outline</w:t>
      </w:r>
    </w:p>
    <w:p w14:paraId="53F4BA03" w14:textId="77777777" w:rsidR="00BB55F3" w:rsidRDefault="00000000">
      <w:pPr>
        <w:spacing w:before="60" w:after="60"/>
      </w:pPr>
      <w:r>
        <w:rPr>
          <w:rFonts w:ascii="Calibri" w:hAnsi="Calibri"/>
          <w:b/>
          <w:color w:val="1F4E79"/>
          <w:sz w:val="24"/>
        </w:rPr>
        <w:t>I. Introduction and Context of Proverbs 31:10–31</w:t>
      </w:r>
    </w:p>
    <w:p w14:paraId="6E90E452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A. Overview of Lecture 20 in the Proverbs Series</w:t>
      </w:r>
    </w:p>
    <w:p w14:paraId="479418D2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Speaker: Dr. Knut Heim</w:t>
      </w:r>
    </w:p>
    <w:p w14:paraId="17891405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Text focus: Proverbs 31:10–31 (The Capable/Powerful Woman)</w:t>
      </w:r>
    </w:p>
    <w:p w14:paraId="00D1D498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B. Structure of the Hebrew Text</w:t>
      </w:r>
    </w:p>
    <w:p w14:paraId="0CD5775B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Alphabetic acrostic poem (22 verses corresponding to 22 Hebrew letters)</w:t>
      </w:r>
    </w:p>
    <w:p w14:paraId="74509102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Starts with Aleph (v. 10) and ends with Taf (v. 31)</w:t>
      </w:r>
    </w:p>
    <w:p w14:paraId="51D7F2D9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3. Functions as a self-contained poetic unit ("A to Z" of a capable wife)</w:t>
      </w:r>
    </w:p>
    <w:p w14:paraId="648C4D77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C. Relationship to Proverbs 31:1–9 (King Lemuel’s Mother)</w:t>
      </w:r>
    </w:p>
    <w:p w14:paraId="7584B7E0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Traditional view: Read as an isolated self-contained poem</w:t>
      </w:r>
    </w:p>
    <w:p w14:paraId="7F8F10EB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Editorial macro-structure connection (Lichtheim): Response to Queen Mother's warning against wrong women</w:t>
      </w:r>
    </w:p>
    <w:p w14:paraId="2E891403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3. Dr. Jeanette Hartwell's proposal: Rhetorical response ("Who can find?") from Lemuel, followed by his mother's description of a suitable noble woman</w:t>
      </w:r>
    </w:p>
    <w:p w14:paraId="5BD18EAE" w14:textId="77777777" w:rsidR="00BB55F3" w:rsidRDefault="00000000">
      <w:pPr>
        <w:spacing w:before="60" w:after="60"/>
      </w:pPr>
      <w:r>
        <w:rPr>
          <w:rFonts w:ascii="Calibri" w:hAnsi="Calibri"/>
          <w:b/>
          <w:color w:val="1F4E79"/>
          <w:sz w:val="24"/>
        </w:rPr>
        <w:t>II. Exegesis of Key Terminology: "Eshet Hayil"</w:t>
      </w:r>
    </w:p>
    <w:p w14:paraId="115B9004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A. Linguistic Meaning and Rarity</w:t>
      </w:r>
    </w:p>
    <w:p w14:paraId="00B0A506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Translated as "wife of noble character," "valiant woman," or "capable wife"</w:t>
      </w:r>
    </w:p>
    <w:p w14:paraId="13B79A2B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Title of honor appearing only three times in the Hebrew Bible (e.g., Ruth)</w:t>
      </w:r>
    </w:p>
    <w:p w14:paraId="05A225F0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B. Comparison with Male Equivalent ("Gibor Hayil")</w:t>
      </w:r>
    </w:p>
    <w:p w14:paraId="38961DA6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Gibor Hayil denotes a powerful warrior who defeats enemies</w:t>
      </w:r>
    </w:p>
    <w:p w14:paraId="71FC4700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Uses martial/military terminology applied to an exceptionally powerful woman</w:t>
      </w:r>
    </w:p>
    <w:p w14:paraId="763CBD7D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lastRenderedPageBreak/>
        <w:t>3. Preferred translation: "A powerful woman who can find?"</w:t>
      </w:r>
    </w:p>
    <w:p w14:paraId="133E533B" w14:textId="77777777" w:rsidR="00BB55F3" w:rsidRDefault="00000000">
      <w:pPr>
        <w:spacing w:before="60" w:after="60"/>
      </w:pPr>
      <w:r>
        <w:rPr>
          <w:rFonts w:ascii="Calibri" w:hAnsi="Calibri"/>
          <w:b/>
          <w:color w:val="1F4E79"/>
          <w:sz w:val="24"/>
        </w:rPr>
        <w:t>III. Detailed Portrait of the Capable Woman’s Character and Activities</w:t>
      </w:r>
    </w:p>
    <w:p w14:paraId="590BCAC9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A. Marital and Domestic Impact (vv. 11–12, 23, 28–31)</w:t>
      </w:r>
    </w:p>
    <w:p w14:paraId="346F5E62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Inspires absolute trust and provides financial benefit to her husband</w:t>
      </w:r>
    </w:p>
    <w:p w14:paraId="2F849584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Enhances her husband’s social standing at the city gates among elders</w:t>
      </w:r>
    </w:p>
    <w:p w14:paraId="0C68C079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3. Call to public honor: Giving her the fruit of her hands and public praise</w:t>
      </w:r>
    </w:p>
    <w:p w14:paraId="29AC9B6E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B. Economic and Entrepreneurial Achievements (vv. 13–19, 24)</w:t>
      </w:r>
    </w:p>
    <w:p w14:paraId="5DD38AA6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Large-scale textile industry: Working with wool and flax, managing servant girls</w:t>
      </w:r>
    </w:p>
    <w:p w14:paraId="177AEB48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International trade: Like merchant ships bringing goods from afar</w:t>
      </w:r>
    </w:p>
    <w:p w14:paraId="61A0EEFD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3. Real estate and agriculture: Buying fields, planting vineyards, wine production</w:t>
      </w:r>
    </w:p>
    <w:p w14:paraId="75FD44D6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C. Social Responsibility and Community Care (vv. 20, 21)</w:t>
      </w:r>
    </w:p>
    <w:p w14:paraId="1046B949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Active care and provision for the poor and vulnerable</w:t>
      </w:r>
    </w:p>
    <w:p w14:paraId="043EDC99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Distinction between personal welfare care and active social justice advocacy</w:t>
      </w:r>
    </w:p>
    <w:p w14:paraId="7AA17A19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3. Provides crimson clothing and social security for her expanded household</w:t>
      </w:r>
    </w:p>
    <w:p w14:paraId="1FD60AD8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D. Personal Character, Dignity, and Teaching (vv. 25–26, 30)</w:t>
      </w:r>
    </w:p>
    <w:p w14:paraId="716ABA63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"Strength and dignity are her clothing": Inner confidence, self-sufficiency, and power dressing</w:t>
      </w:r>
    </w:p>
    <w:p w14:paraId="267D5177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Laughs at the time to come: Independence and security in the future</w:t>
      </w:r>
    </w:p>
    <w:p w14:paraId="30AB127B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3. Wise teacher: Speaks with wisdom and teaches kindness (torat chesed)</w:t>
      </w:r>
    </w:p>
    <w:p w14:paraId="2DF0C0C4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4. Contrast between deceptive charm/fleeting beauty vs. the fear of the Lord</w:t>
      </w:r>
    </w:p>
    <w:p w14:paraId="081FEF01" w14:textId="77777777" w:rsidR="00BB55F3" w:rsidRDefault="00000000">
      <w:pPr>
        <w:spacing w:before="60" w:after="60"/>
      </w:pPr>
      <w:r>
        <w:rPr>
          <w:rFonts w:ascii="Calibri" w:hAnsi="Calibri"/>
          <w:b/>
          <w:color w:val="1F4E79"/>
          <w:sz w:val="24"/>
        </w:rPr>
        <w:t>IV. Hermeneutical and Practical Implications</w:t>
      </w:r>
    </w:p>
    <w:p w14:paraId="4C20BDFF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A. Re-evaluating Misconceptions</w:t>
      </w:r>
    </w:p>
    <w:p w14:paraId="1F25C82A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Not a simplistic domestic checklist for a standard housewife</w:t>
      </w:r>
    </w:p>
    <w:p w14:paraId="077CB5A6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Represents a woman of royal status/queenly authority</w:t>
      </w:r>
    </w:p>
    <w:p w14:paraId="5651523B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B. Purpose of the Idealization</w:t>
      </w:r>
    </w:p>
    <w:p w14:paraId="08CC92BB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Not intended to induce guilt or set an impossible burden</w:t>
      </w:r>
    </w:p>
    <w:p w14:paraId="2B25B5A0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Designed to inspire both men and women toward wisdom, diligence, and social responsibility</w:t>
      </w:r>
    </w:p>
    <w:p w14:paraId="60B57C9C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3. Acknowledgment that "many women have done excellently" (v. 29)</w:t>
      </w:r>
    </w:p>
    <w:p w14:paraId="2D7A636F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C. Dual Nature: Literal Woman and Personified Wisdom</w:t>
      </w:r>
    </w:p>
    <w:p w14:paraId="4B456F57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Represents both real-life female role models in history</w:t>
      </w:r>
    </w:p>
    <w:p w14:paraId="41CD4A87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2. Personification of Lady Wisdom (connecting back to Proverbs 1–9)</w:t>
      </w:r>
    </w:p>
    <w:p w14:paraId="7BB0E26C" w14:textId="77777777" w:rsidR="00BB55F3" w:rsidRDefault="00000000">
      <w:pPr>
        <w:spacing w:before="20" w:after="20"/>
        <w:ind w:left="432"/>
      </w:pPr>
      <w:r>
        <w:rPr>
          <w:rFonts w:ascii="Calibri" w:hAnsi="Calibri"/>
          <w:color w:val="000000"/>
        </w:rPr>
        <w:t>D. Conclusion of the Proverbs Series</w:t>
      </w:r>
    </w:p>
    <w:p w14:paraId="4BEB5114" w14:textId="77777777" w:rsidR="00BB55F3" w:rsidRDefault="00000000">
      <w:pPr>
        <w:spacing w:before="20" w:after="20"/>
        <w:ind w:left="864"/>
      </w:pPr>
      <w:r>
        <w:rPr>
          <w:rFonts w:ascii="Calibri" w:hAnsi="Calibri"/>
          <w:color w:val="323232"/>
          <w:sz w:val="21"/>
        </w:rPr>
        <w:t>1. Call to embrace wisdom, work hard, and fear the Lord</w:t>
      </w:r>
    </w:p>
    <w:sectPr w:rsidR="00BB55F3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D8B72" w14:textId="77777777" w:rsidR="00C30B9B" w:rsidRDefault="00C30B9B">
      <w:pPr>
        <w:spacing w:after="0" w:line="240" w:lineRule="auto"/>
      </w:pPr>
      <w:r>
        <w:separator/>
      </w:r>
    </w:p>
  </w:endnote>
  <w:endnote w:type="continuationSeparator" w:id="0">
    <w:p w14:paraId="56C07192" w14:textId="77777777" w:rsidR="00C30B9B" w:rsidRDefault="00C30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DB3E5" w14:textId="77777777" w:rsidR="00C30B9B" w:rsidRDefault="00C30B9B">
      <w:pPr>
        <w:spacing w:after="0" w:line="240" w:lineRule="auto"/>
      </w:pPr>
      <w:r>
        <w:separator/>
      </w:r>
    </w:p>
  </w:footnote>
  <w:footnote w:type="continuationSeparator" w:id="0">
    <w:p w14:paraId="47E812B8" w14:textId="77777777" w:rsidR="00C30B9B" w:rsidRDefault="00C30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66C5" w14:textId="77777777" w:rsidR="00BB55F3" w:rsidRDefault="00000000">
    <w:pPr>
      <w:pStyle w:val="Header"/>
      <w:jc w:val="right"/>
    </w:pPr>
    <w:r>
      <w:rPr>
        <w:rFonts w:ascii="Calibri" w:hAnsi="Calibri"/>
        <w:color w:val="646464"/>
        <w:sz w:val="20"/>
      </w:rPr>
      <w:fldChar w:fldCharType="begin"/>
    </w:r>
    <w:r>
      <w:rPr>
        <w:rFonts w:ascii="Calibri" w:hAnsi="Calibri"/>
        <w:color w:val="646464"/>
        <w:sz w:val="20"/>
      </w:rPr>
      <w:instrText>PAGE</w:instrText>
    </w:r>
    <w:r>
      <w:rPr>
        <w:rFonts w:ascii="Calibri" w:hAnsi="Calibri"/>
        <w:color w:val="646464"/>
        <w:sz w:val="20"/>
      </w:rPr>
      <w:fldChar w:fldCharType="separate"/>
    </w:r>
    <w:r w:rsidR="00F0496C">
      <w:rPr>
        <w:rFonts w:ascii="Calibri" w:hAnsi="Calibri"/>
        <w:noProof/>
        <w:color w:val="646464"/>
        <w:sz w:val="20"/>
      </w:rPr>
      <w:t>1</w:t>
    </w:r>
    <w:r>
      <w:rPr>
        <w:rFonts w:ascii="Calibri" w:hAnsi="Calibri"/>
        <w:color w:val="646464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8070414">
    <w:abstractNumId w:val="8"/>
  </w:num>
  <w:num w:numId="2" w16cid:durableId="183520812">
    <w:abstractNumId w:val="6"/>
  </w:num>
  <w:num w:numId="3" w16cid:durableId="1277836702">
    <w:abstractNumId w:val="5"/>
  </w:num>
  <w:num w:numId="4" w16cid:durableId="1700427382">
    <w:abstractNumId w:val="4"/>
  </w:num>
  <w:num w:numId="5" w16cid:durableId="44641705">
    <w:abstractNumId w:val="7"/>
  </w:num>
  <w:num w:numId="6" w16cid:durableId="1200317452">
    <w:abstractNumId w:val="3"/>
  </w:num>
  <w:num w:numId="7" w16cid:durableId="1166164873">
    <w:abstractNumId w:val="2"/>
  </w:num>
  <w:num w:numId="8" w16cid:durableId="56976918">
    <w:abstractNumId w:val="1"/>
  </w:num>
  <w:num w:numId="9" w16cid:durableId="1963265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B55F3"/>
    <w:rsid w:val="00C30B9B"/>
    <w:rsid w:val="00CB0664"/>
    <w:rsid w:val="00D704BE"/>
    <w:rsid w:val="00F049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E75C11"/>
  <w14:defaultImageDpi w14:val="300"/>
  <w15:docId w15:val="{ACFBAC6F-A40E-4757-AD46-F1976FE3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2026-10-10T19:06:00Z</dcterms:modified>
  <cp:category/>
</cp:coreProperties>
</file>