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E39D5" w14:textId="77777777" w:rsidR="00FD2027" w:rsidRDefault="00000000" w:rsidP="00C276A0">
      <w:pPr>
        <w:spacing w:after="80"/>
        <w:jc w:val="center"/>
      </w:pPr>
      <w:r>
        <w:rPr>
          <w:rFonts w:ascii="Calibri" w:hAnsi="Calibri"/>
          <w:b/>
          <w:color w:val="003366"/>
          <w:sz w:val="36"/>
        </w:rPr>
        <w:t>Proverbs Lecture 17: Proverbs 30:1–9 Introduction to Agur</w:t>
      </w:r>
    </w:p>
    <w:p w14:paraId="349D6C22" w14:textId="77777777" w:rsidR="00FD2027" w:rsidRDefault="00000000" w:rsidP="00C276A0">
      <w:pPr>
        <w:spacing w:after="360"/>
        <w:jc w:val="center"/>
      </w:pPr>
      <w:r>
        <w:rPr>
          <w:rFonts w:ascii="Calibri" w:hAnsi="Calibri"/>
          <w:i/>
          <w:color w:val="505050"/>
        </w:rPr>
        <w:t>Author: Dr. Knut Heim | Session 17</w:t>
      </w:r>
      <w:r>
        <w:rPr>
          <w:rFonts w:ascii="Calibri" w:hAnsi="Calibri"/>
          <w:i/>
          <w:color w:val="505050"/>
        </w:rPr>
        <w:br/>
        <w:t>Sponsored by Biblicalelearning.org by Ted Hildebrandt</w:t>
      </w:r>
    </w:p>
    <w:p w14:paraId="164A2055" w14:textId="77777777" w:rsidR="00FD2027" w:rsidRDefault="00000000">
      <w:pPr>
        <w:spacing w:after="80"/>
      </w:pPr>
      <w:r>
        <w:rPr>
          <w:rFonts w:ascii="Calibri" w:hAnsi="Calibri"/>
          <w:b/>
          <w:color w:val="003366"/>
          <w:sz w:val="28"/>
        </w:rPr>
        <w:t>Keywords</w:t>
      </w:r>
    </w:p>
    <w:p w14:paraId="34C71766" w14:textId="77777777" w:rsidR="00FD2027" w:rsidRDefault="00000000">
      <w:pPr>
        <w:spacing w:after="360"/>
      </w:pPr>
      <w:r>
        <w:rPr>
          <w:rFonts w:ascii="Calibri" w:hAnsi="Calibri"/>
        </w:rPr>
        <w:t>Proverbs 30, Agur, Wisdom, Oracle, Divine Revelation, Prayer, Self-reliance, Poverty, Riches, Faith</w:t>
      </w:r>
    </w:p>
    <w:p w14:paraId="54D97893" w14:textId="77777777" w:rsidR="00FD2027" w:rsidRDefault="00000000">
      <w:pPr>
        <w:spacing w:after="80"/>
      </w:pPr>
      <w:r>
        <w:rPr>
          <w:rFonts w:ascii="Calibri" w:hAnsi="Calibri"/>
          <w:b/>
          <w:color w:val="003366"/>
          <w:sz w:val="28"/>
        </w:rPr>
        <w:t>Abstract</w:t>
      </w:r>
    </w:p>
    <w:p w14:paraId="35F3750C" w14:textId="77777777" w:rsidR="00FD2027" w:rsidRDefault="00000000">
      <w:pPr>
        <w:spacing w:after="360"/>
      </w:pPr>
      <w:r>
        <w:rPr>
          <w:rFonts w:ascii="Calibri" w:hAnsi="Calibri"/>
        </w:rPr>
        <w:t>In this lecture, Dr. Knut Heim explores the enigmatic opening of Proverbs 30 (verses 1–9), focusing on the identity and theological contribution of Agur, son of Jakeh. Agur offers a deeply honest, self-deprecating confession of his own human limitations and lack of divine understanding, which prompts a series of rapid rhetorical questions from God challenging him to rely on divine wisdom rather than human self-sufficiency. Agur responds by affirming that every word of God is true and taking refuge in Him as a protective shield against self-reliance and intellectual pride. Ultimately, Agur prays for a balanced life—requesting protection from falsehood and asking for neither poverty nor excessive wealth—so that he may avoid the spiritual dangers of self-sufficiency or desperate lawbreaking.</w:t>
      </w:r>
    </w:p>
    <w:p w14:paraId="57DE1870" w14:textId="77777777" w:rsidR="00FD2027" w:rsidRDefault="00000000">
      <w:pPr>
        <w:spacing w:after="160"/>
      </w:pPr>
      <w:r>
        <w:rPr>
          <w:rFonts w:ascii="Calibri" w:hAnsi="Calibri"/>
          <w:b/>
          <w:color w:val="003366"/>
          <w:sz w:val="28"/>
        </w:rPr>
        <w:t>Outline</w:t>
      </w:r>
    </w:p>
    <w:p w14:paraId="7E5C5AAC" w14:textId="77777777" w:rsidR="00FD2027" w:rsidRDefault="00000000">
      <w:pPr>
        <w:spacing w:before="80" w:after="120"/>
      </w:pPr>
      <w:r>
        <w:rPr>
          <w:rFonts w:ascii="Calibri" w:hAnsi="Calibri"/>
          <w:b/>
          <w:color w:val="003366"/>
          <w:sz w:val="23"/>
        </w:rPr>
        <w:t>I. Introduction to Proverbs 30: Enigmatic Nature and Structure (Verses 1–9)</w:t>
      </w:r>
    </w:p>
    <w:p w14:paraId="380F7E75" w14:textId="77777777" w:rsidR="00FD2027" w:rsidRDefault="00000000">
      <w:pPr>
        <w:spacing w:after="60"/>
        <w:ind w:left="360"/>
      </w:pPr>
      <w:r>
        <w:rPr>
          <w:rFonts w:ascii="Calibri" w:hAnsi="Calibri"/>
        </w:rPr>
        <w:t>A. Context within the Book of Proverbs</w:t>
      </w:r>
    </w:p>
    <w:p w14:paraId="45731FA7" w14:textId="77777777" w:rsidR="00FD2027" w:rsidRDefault="00000000">
      <w:pPr>
        <w:spacing w:after="60"/>
        <w:ind w:left="720"/>
      </w:pPr>
      <w:r>
        <w:rPr>
          <w:rFonts w:ascii="Calibri" w:hAnsi="Calibri"/>
        </w:rPr>
        <w:t>1. Penultimate chapter of Proverbs</w:t>
      </w:r>
    </w:p>
    <w:p w14:paraId="6C9218A4" w14:textId="77777777" w:rsidR="00FD2027" w:rsidRDefault="00000000">
      <w:pPr>
        <w:spacing w:after="60"/>
        <w:ind w:left="720"/>
      </w:pPr>
      <w:r>
        <w:rPr>
          <w:rFonts w:ascii="Calibri" w:hAnsi="Calibri"/>
        </w:rPr>
        <w:t>2. Coherent initial unit (Verses 1–9) versus categorization in Verses 10–31</w:t>
      </w:r>
    </w:p>
    <w:p w14:paraId="3BC836A7" w14:textId="77777777" w:rsidR="00FD2027" w:rsidRDefault="00000000">
      <w:pPr>
        <w:spacing w:after="60"/>
        <w:ind w:left="360"/>
      </w:pPr>
      <w:r>
        <w:rPr>
          <w:rFonts w:ascii="Calibri" w:hAnsi="Calibri"/>
        </w:rPr>
        <w:t>B. Translation Divergences between NRSV and NIV (Verse 1)</w:t>
      </w:r>
    </w:p>
    <w:p w14:paraId="0AE56DE0" w14:textId="77777777" w:rsidR="00FD2027" w:rsidRDefault="00000000">
      <w:pPr>
        <w:spacing w:after="60"/>
        <w:ind w:left="720"/>
      </w:pPr>
      <w:r>
        <w:rPr>
          <w:rFonts w:ascii="Calibri" w:hAnsi="Calibri"/>
        </w:rPr>
        <w:t>1. Phrase translation: "an oracle" (NRSV) vs. "an inspired utterance" (NIV)</w:t>
      </w:r>
    </w:p>
    <w:p w14:paraId="1EB4EF9C" w14:textId="77777777" w:rsidR="00FD2027" w:rsidRDefault="00000000">
      <w:pPr>
        <w:spacing w:after="60"/>
        <w:ind w:left="720"/>
      </w:pPr>
      <w:r>
        <w:rPr>
          <w:rFonts w:ascii="Calibri" w:hAnsi="Calibri"/>
        </w:rPr>
        <w:t>2. Textual difficulty: "Thus says the man, I am weary" (NRSV) vs. "utterance to Ithiel" (NIV)</w:t>
      </w:r>
    </w:p>
    <w:p w14:paraId="1E590738" w14:textId="77777777" w:rsidR="00FD2027" w:rsidRDefault="00000000">
      <w:pPr>
        <w:spacing w:after="60"/>
        <w:ind w:left="720"/>
      </w:pPr>
      <w:r>
        <w:rPr>
          <w:rFonts w:ascii="Calibri" w:hAnsi="Calibri"/>
        </w:rPr>
        <w:t>3. Root cause: Rare Hebrew vocabulary, syntactical complexity, and interpretation of "Ithiel" / "Et-Iel"</w:t>
      </w:r>
    </w:p>
    <w:p w14:paraId="5876B720" w14:textId="77777777" w:rsidR="00FD2027" w:rsidRDefault="00000000">
      <w:pPr>
        <w:spacing w:before="80" w:after="120"/>
      </w:pPr>
      <w:r>
        <w:rPr>
          <w:rFonts w:ascii="Calibri" w:hAnsi="Calibri"/>
          <w:b/>
          <w:color w:val="003366"/>
          <w:sz w:val="23"/>
        </w:rPr>
        <w:t>II. The Identity and Background of Agur, Son of Jakeh</w:t>
      </w:r>
    </w:p>
    <w:p w14:paraId="5D5C20EA" w14:textId="77777777" w:rsidR="00FD2027" w:rsidRDefault="00000000">
      <w:pPr>
        <w:spacing w:after="60"/>
        <w:ind w:left="360"/>
      </w:pPr>
      <w:r>
        <w:rPr>
          <w:rFonts w:ascii="Calibri" w:hAnsi="Calibri"/>
        </w:rPr>
        <w:t>A. Foreign Origins Hypothesis</w:t>
      </w:r>
    </w:p>
    <w:p w14:paraId="32678621" w14:textId="77777777" w:rsidR="00FD2027" w:rsidRDefault="00000000">
      <w:pPr>
        <w:spacing w:after="60"/>
        <w:ind w:left="720"/>
      </w:pPr>
      <w:r>
        <w:rPr>
          <w:rFonts w:ascii="Calibri" w:hAnsi="Calibri"/>
        </w:rPr>
        <w:t>1. Non-Israelite names attested in Mesopotamia</w:t>
      </w:r>
    </w:p>
    <w:p w14:paraId="489160A7" w14:textId="77777777" w:rsidR="00FD2027" w:rsidRDefault="00000000">
      <w:pPr>
        <w:spacing w:after="60"/>
        <w:ind w:left="720"/>
      </w:pPr>
      <w:r>
        <w:rPr>
          <w:rFonts w:ascii="Calibri" w:hAnsi="Calibri"/>
        </w:rPr>
        <w:t>2. Possibility of a foreign convert adopting Israelite theology</w:t>
      </w:r>
    </w:p>
    <w:p w14:paraId="0C35B725" w14:textId="77777777" w:rsidR="00FD2027" w:rsidRDefault="00000000">
      <w:pPr>
        <w:spacing w:after="60"/>
        <w:ind w:left="720"/>
      </w:pPr>
      <w:r>
        <w:rPr>
          <w:rFonts w:ascii="Calibri" w:hAnsi="Calibri"/>
        </w:rPr>
        <w:t>3. Hebrew as a second language explaining textual idiosyncrasies</w:t>
      </w:r>
    </w:p>
    <w:p w14:paraId="03BFBD11" w14:textId="77777777" w:rsidR="00FD2027" w:rsidRDefault="00000000">
      <w:pPr>
        <w:spacing w:after="60"/>
        <w:ind w:left="360"/>
      </w:pPr>
      <w:r>
        <w:rPr>
          <w:rFonts w:ascii="Calibri" w:hAnsi="Calibri"/>
        </w:rPr>
        <w:t>B. Nature of the Opening Expression (Massa)</w:t>
      </w:r>
    </w:p>
    <w:p w14:paraId="6DC4F89C" w14:textId="77777777" w:rsidR="00FD2027" w:rsidRDefault="00000000">
      <w:pPr>
        <w:spacing w:after="60"/>
        <w:ind w:left="720"/>
      </w:pPr>
      <w:r>
        <w:rPr>
          <w:rFonts w:ascii="Calibri" w:hAnsi="Calibri"/>
        </w:rPr>
        <w:t>1. Definition as an "inspired utterance" or "oracle"</w:t>
      </w:r>
    </w:p>
    <w:p w14:paraId="388264CB" w14:textId="77777777" w:rsidR="00FD2027" w:rsidRDefault="00000000">
      <w:pPr>
        <w:spacing w:after="60"/>
        <w:ind w:left="720"/>
      </w:pPr>
      <w:r>
        <w:rPr>
          <w:rFonts w:ascii="Calibri" w:hAnsi="Calibri"/>
        </w:rPr>
        <w:t>2. Parallels with prophetic oracles and David's final reflections (2 Samuel 23)</w:t>
      </w:r>
    </w:p>
    <w:p w14:paraId="7D619DC7" w14:textId="77777777" w:rsidR="00FD2027" w:rsidRDefault="00000000">
      <w:pPr>
        <w:spacing w:after="60"/>
        <w:ind w:left="720"/>
      </w:pPr>
      <w:r>
        <w:rPr>
          <w:rFonts w:ascii="Calibri" w:hAnsi="Calibri"/>
        </w:rPr>
        <w:lastRenderedPageBreak/>
        <w:t>3. Geographical interpretation: Agur from the region of Massa</w:t>
      </w:r>
    </w:p>
    <w:p w14:paraId="24EED9EC" w14:textId="77777777" w:rsidR="00FD2027" w:rsidRDefault="00000000">
      <w:pPr>
        <w:spacing w:after="60"/>
        <w:ind w:left="360"/>
      </w:pPr>
      <w:r>
        <w:rPr>
          <w:rFonts w:ascii="Calibri" w:hAnsi="Calibri"/>
        </w:rPr>
        <w:t>C. Function as a Personal Reflection/Biography</w:t>
      </w:r>
    </w:p>
    <w:p w14:paraId="7A2B0BAC" w14:textId="77777777" w:rsidR="00FD2027" w:rsidRDefault="00000000">
      <w:pPr>
        <w:spacing w:after="60"/>
        <w:ind w:left="720"/>
      </w:pPr>
      <w:r>
        <w:rPr>
          <w:rFonts w:ascii="Calibri" w:hAnsi="Calibri"/>
        </w:rPr>
        <w:t>1. A mature theological reflection on life under God</w:t>
      </w:r>
    </w:p>
    <w:p w14:paraId="606BB6A0" w14:textId="77777777" w:rsidR="00FD2027" w:rsidRDefault="00000000">
      <w:pPr>
        <w:spacing w:after="60"/>
        <w:ind w:left="720"/>
      </w:pPr>
      <w:r>
        <w:rPr>
          <w:rFonts w:ascii="Calibri" w:hAnsi="Calibri"/>
        </w:rPr>
        <w:t>2. Reason for neglect in standard biblical studies due to text complexity</w:t>
      </w:r>
    </w:p>
    <w:p w14:paraId="1F49FCC2" w14:textId="77777777" w:rsidR="00FD2027" w:rsidRDefault="00000000">
      <w:pPr>
        <w:spacing w:before="80" w:after="120"/>
      </w:pPr>
      <w:r>
        <w:rPr>
          <w:rFonts w:ascii="Calibri" w:hAnsi="Calibri"/>
          <w:b/>
          <w:color w:val="003366"/>
          <w:sz w:val="23"/>
        </w:rPr>
        <w:t>III. Agur’s Honest Confession and Exaggerated Humility (Verses 2–3)</w:t>
      </w:r>
    </w:p>
    <w:p w14:paraId="74724FC7" w14:textId="77777777" w:rsidR="00FD2027" w:rsidRDefault="00000000">
      <w:pPr>
        <w:spacing w:after="60"/>
        <w:ind w:left="360"/>
      </w:pPr>
      <w:r>
        <w:rPr>
          <w:rFonts w:ascii="Calibri" w:hAnsi="Calibri"/>
        </w:rPr>
        <w:t>A. Expressions of Weariness and Crisis</w:t>
      </w:r>
    </w:p>
    <w:p w14:paraId="606B7310" w14:textId="77777777" w:rsidR="00FD2027" w:rsidRDefault="00000000">
      <w:pPr>
        <w:spacing w:after="60"/>
        <w:ind w:left="720"/>
      </w:pPr>
      <w:r>
        <w:rPr>
          <w:rFonts w:ascii="Calibri" w:hAnsi="Calibri"/>
        </w:rPr>
        <w:t>1. Appeal to God under distress or near the end of life</w:t>
      </w:r>
    </w:p>
    <w:p w14:paraId="152A0AB3" w14:textId="77777777" w:rsidR="00FD2027" w:rsidRDefault="00000000">
      <w:pPr>
        <w:spacing w:after="60"/>
        <w:ind w:left="720"/>
      </w:pPr>
      <w:r>
        <w:rPr>
          <w:rFonts w:ascii="Calibri" w:hAnsi="Calibri"/>
        </w:rPr>
        <w:t>2. Self-deprecating claims: "too stupid to be human" and lacking human understanding</w:t>
      </w:r>
    </w:p>
    <w:p w14:paraId="08E93F5C" w14:textId="77777777" w:rsidR="00FD2027" w:rsidRDefault="00000000">
      <w:pPr>
        <w:spacing w:after="60"/>
        <w:ind w:left="360"/>
      </w:pPr>
      <w:r>
        <w:rPr>
          <w:rFonts w:ascii="Calibri" w:hAnsi="Calibri"/>
        </w:rPr>
        <w:t>B. Claims of Religious Ignorance</w:t>
      </w:r>
    </w:p>
    <w:p w14:paraId="77306716" w14:textId="77777777" w:rsidR="00FD2027" w:rsidRDefault="00000000">
      <w:pPr>
        <w:spacing w:after="60"/>
        <w:ind w:left="720"/>
      </w:pPr>
      <w:r>
        <w:rPr>
          <w:rFonts w:ascii="Calibri" w:hAnsi="Calibri"/>
        </w:rPr>
        <w:t>1. "Nor have I knowledge of the Holy One / holy ones / holy things"</w:t>
      </w:r>
    </w:p>
    <w:p w14:paraId="16EFBFD0" w14:textId="77777777" w:rsidR="00FD2027" w:rsidRDefault="00000000">
      <w:pPr>
        <w:spacing w:after="60"/>
        <w:ind w:left="720"/>
      </w:pPr>
      <w:r>
        <w:rPr>
          <w:rFonts w:ascii="Calibri" w:hAnsi="Calibri"/>
        </w:rPr>
        <w:t>2. Multivalency of the Hebrew text encompassing divine beings, God, and sacred matters</w:t>
      </w:r>
    </w:p>
    <w:p w14:paraId="069E5C1E" w14:textId="77777777" w:rsidR="00FD2027" w:rsidRDefault="00000000">
      <w:pPr>
        <w:spacing w:after="60"/>
        <w:ind w:left="360"/>
      </w:pPr>
      <w:r>
        <w:rPr>
          <w:rFonts w:ascii="Calibri" w:hAnsi="Calibri"/>
        </w:rPr>
        <w:t>C. Rhetorical and Pedagogical Purpose</w:t>
      </w:r>
    </w:p>
    <w:p w14:paraId="04409E4E" w14:textId="77777777" w:rsidR="00FD2027" w:rsidRDefault="00000000">
      <w:pPr>
        <w:spacing w:after="60"/>
        <w:ind w:left="720"/>
      </w:pPr>
      <w:r>
        <w:rPr>
          <w:rFonts w:ascii="Calibri" w:hAnsi="Calibri"/>
        </w:rPr>
        <w:t>1. Expressing Socrates-like awareness of intellectual limits</w:t>
      </w:r>
    </w:p>
    <w:p w14:paraId="3E05BAAD" w14:textId="77777777" w:rsidR="00FD2027" w:rsidRDefault="00000000">
      <w:pPr>
        <w:spacing w:after="60"/>
        <w:ind w:left="720"/>
      </w:pPr>
      <w:r>
        <w:rPr>
          <w:rFonts w:ascii="Calibri" w:hAnsi="Calibri"/>
        </w:rPr>
        <w:t>2. Motivating God to grant divine insight and assistance</w:t>
      </w:r>
    </w:p>
    <w:p w14:paraId="7CD75C5B" w14:textId="77777777" w:rsidR="00FD2027" w:rsidRDefault="00000000">
      <w:pPr>
        <w:spacing w:before="80" w:after="120"/>
      </w:pPr>
      <w:r>
        <w:rPr>
          <w:rFonts w:ascii="Calibri" w:hAnsi="Calibri"/>
          <w:b/>
          <w:color w:val="003366"/>
          <w:sz w:val="23"/>
        </w:rPr>
        <w:t>IV. Divine Confrontation: Quick-Fire Rhetorical Questions (Verse 4)</w:t>
      </w:r>
    </w:p>
    <w:p w14:paraId="6CFF0345" w14:textId="77777777" w:rsidR="00FD2027" w:rsidRDefault="00000000">
      <w:pPr>
        <w:spacing w:after="60"/>
        <w:ind w:left="360"/>
      </w:pPr>
      <w:r>
        <w:rPr>
          <w:rFonts w:ascii="Calibri" w:hAnsi="Calibri"/>
        </w:rPr>
        <w:t>A. Shift in Speaker from Agur to God</w:t>
      </w:r>
    </w:p>
    <w:p w14:paraId="0E2D63C8" w14:textId="77777777" w:rsidR="00FD2027" w:rsidRDefault="00000000">
      <w:pPr>
        <w:spacing w:after="60"/>
        <w:ind w:left="720"/>
      </w:pPr>
      <w:r>
        <w:rPr>
          <w:rFonts w:ascii="Calibri" w:hAnsi="Calibri"/>
        </w:rPr>
        <w:t>1. Dialogue structure in prayer context</w:t>
      </w:r>
    </w:p>
    <w:p w14:paraId="7E59B0EA" w14:textId="77777777" w:rsidR="00FD2027" w:rsidRDefault="00000000">
      <w:pPr>
        <w:spacing w:after="60"/>
        <w:ind w:left="720"/>
      </w:pPr>
      <w:r>
        <w:rPr>
          <w:rFonts w:ascii="Calibri" w:hAnsi="Calibri"/>
        </w:rPr>
        <w:t>2. Five rapid rhetorical questions challenging human competence</w:t>
      </w:r>
    </w:p>
    <w:p w14:paraId="51E5093A" w14:textId="77777777" w:rsidR="00FD2027" w:rsidRDefault="00000000">
      <w:pPr>
        <w:spacing w:after="60"/>
        <w:ind w:left="360"/>
      </w:pPr>
      <w:r>
        <w:rPr>
          <w:rFonts w:ascii="Calibri" w:hAnsi="Calibri"/>
        </w:rPr>
        <w:t>B. Divine Control over Creation</w:t>
      </w:r>
    </w:p>
    <w:p w14:paraId="5A9FD89A" w14:textId="77777777" w:rsidR="00FD2027" w:rsidRDefault="00000000">
      <w:pPr>
        <w:spacing w:after="60"/>
        <w:ind w:left="720"/>
      </w:pPr>
      <w:r>
        <w:rPr>
          <w:rFonts w:ascii="Calibri" w:hAnsi="Calibri"/>
        </w:rPr>
        <w:t>1. Ascending/descending heaven, gathering wind, wrapping waters, establishing earth</w:t>
      </w:r>
    </w:p>
    <w:p w14:paraId="41456051" w14:textId="77777777" w:rsidR="00FD2027" w:rsidRDefault="00000000">
      <w:pPr>
        <w:spacing w:after="60"/>
        <w:ind w:left="720"/>
      </w:pPr>
      <w:r>
        <w:rPr>
          <w:rFonts w:ascii="Calibri" w:hAnsi="Calibri"/>
        </w:rPr>
        <w:t>2. Implicit answer to questions: God alone</w:t>
      </w:r>
    </w:p>
    <w:p w14:paraId="1D8CCB22" w14:textId="77777777" w:rsidR="00FD2027" w:rsidRDefault="00000000">
      <w:pPr>
        <w:spacing w:after="60"/>
        <w:ind w:left="360"/>
      </w:pPr>
      <w:r>
        <w:rPr>
          <w:rFonts w:ascii="Calibri" w:hAnsi="Calibri"/>
        </w:rPr>
        <w:t>C. Comparison with Job (Chapters 38–42)</w:t>
      </w:r>
    </w:p>
    <w:p w14:paraId="3D59AAAC" w14:textId="77777777" w:rsidR="00FD2027" w:rsidRDefault="00000000">
      <w:pPr>
        <w:spacing w:after="60"/>
        <w:ind w:left="720"/>
      </w:pPr>
      <w:r>
        <w:rPr>
          <w:rFonts w:ascii="Calibri" w:hAnsi="Calibri"/>
        </w:rPr>
        <w:t>1. God confronting human pride and demand for factual explanations</w:t>
      </w:r>
    </w:p>
    <w:p w14:paraId="33F561BA" w14:textId="77777777" w:rsidR="00FD2027" w:rsidRDefault="00000000">
      <w:pPr>
        <w:spacing w:after="60"/>
        <w:ind w:left="720"/>
      </w:pPr>
      <w:r>
        <w:rPr>
          <w:rFonts w:ascii="Calibri" w:hAnsi="Calibri"/>
        </w:rPr>
        <w:t>2. Divine instruction to rely on God rather than self-directed understanding</w:t>
      </w:r>
    </w:p>
    <w:p w14:paraId="67B2DCDB" w14:textId="77777777" w:rsidR="00FD2027" w:rsidRDefault="00000000">
      <w:pPr>
        <w:spacing w:after="60"/>
        <w:ind w:left="360"/>
      </w:pPr>
      <w:r>
        <w:rPr>
          <w:rFonts w:ascii="Calibri" w:hAnsi="Calibri"/>
        </w:rPr>
        <w:t>D. Sarcastic Conclusion: "Surely you know!"</w:t>
      </w:r>
    </w:p>
    <w:p w14:paraId="53CFB7EA" w14:textId="77777777" w:rsidR="00FD2027" w:rsidRDefault="00000000">
      <w:pPr>
        <w:spacing w:before="80" w:after="120"/>
      </w:pPr>
      <w:r>
        <w:rPr>
          <w:rFonts w:ascii="Calibri" w:hAnsi="Calibri"/>
          <w:b/>
          <w:color w:val="003366"/>
          <w:sz w:val="23"/>
        </w:rPr>
        <w:t>V. Agur’s Response: Faith, Divine Revelation, and Wisdom (Verses 5–6)</w:t>
      </w:r>
    </w:p>
    <w:p w14:paraId="62CF7D99" w14:textId="77777777" w:rsidR="00FD2027" w:rsidRDefault="00000000">
      <w:pPr>
        <w:spacing w:after="60"/>
        <w:ind w:left="360"/>
      </w:pPr>
      <w:r>
        <w:rPr>
          <w:rFonts w:ascii="Calibri" w:hAnsi="Calibri"/>
        </w:rPr>
        <w:t>A. Affirmation of God’s Word</w:t>
      </w:r>
    </w:p>
    <w:p w14:paraId="4D123E82" w14:textId="77777777" w:rsidR="00FD2027" w:rsidRDefault="00000000">
      <w:pPr>
        <w:spacing w:after="60"/>
        <w:ind w:left="720"/>
      </w:pPr>
      <w:r>
        <w:rPr>
          <w:rFonts w:ascii="Calibri" w:hAnsi="Calibri"/>
        </w:rPr>
        <w:t>1. Every word of God proves true</w:t>
      </w:r>
    </w:p>
    <w:p w14:paraId="4FF4D898" w14:textId="77777777" w:rsidR="00FD2027" w:rsidRDefault="00000000">
      <w:pPr>
        <w:spacing w:after="60"/>
        <w:ind w:left="720"/>
      </w:pPr>
      <w:r>
        <w:rPr>
          <w:rFonts w:ascii="Calibri" w:hAnsi="Calibri"/>
        </w:rPr>
        <w:t>2. God as a shield for those taking refuge in Him</w:t>
      </w:r>
    </w:p>
    <w:p w14:paraId="7F26111D" w14:textId="77777777" w:rsidR="00FD2027" w:rsidRDefault="00000000">
      <w:pPr>
        <w:spacing w:after="60"/>
        <w:ind w:left="360"/>
      </w:pPr>
      <w:r>
        <w:rPr>
          <w:rFonts w:ascii="Calibri" w:hAnsi="Calibri"/>
        </w:rPr>
        <w:t>B. Prohibition Against Adding to God's Words</w:t>
      </w:r>
    </w:p>
    <w:p w14:paraId="726B73D4" w14:textId="77777777" w:rsidR="00FD2027" w:rsidRDefault="00000000">
      <w:pPr>
        <w:spacing w:after="60"/>
        <w:ind w:left="720"/>
      </w:pPr>
      <w:r>
        <w:rPr>
          <w:rFonts w:ascii="Calibri" w:hAnsi="Calibri"/>
        </w:rPr>
        <w:t>1. Warning against divine rebuke and being found a liar</w:t>
      </w:r>
    </w:p>
    <w:p w14:paraId="1F47743E" w14:textId="77777777" w:rsidR="00FD2027" w:rsidRDefault="00000000">
      <w:pPr>
        <w:spacing w:after="60"/>
        <w:ind w:left="720"/>
      </w:pPr>
      <w:r>
        <w:rPr>
          <w:rFonts w:ascii="Calibri" w:hAnsi="Calibri"/>
        </w:rPr>
        <w:t>2. Parallels in Deuteronomy, Ecclesiastes, Revelation, and Ancient Near Eastern texts</w:t>
      </w:r>
    </w:p>
    <w:p w14:paraId="13433B7A" w14:textId="77777777" w:rsidR="00FD2027" w:rsidRDefault="00000000">
      <w:pPr>
        <w:spacing w:after="60"/>
        <w:ind w:left="360"/>
      </w:pPr>
      <w:r>
        <w:rPr>
          <w:rFonts w:ascii="Calibri" w:hAnsi="Calibri"/>
        </w:rPr>
        <w:t>C. Integration of Wisdom Literature with Divine Revelation</w:t>
      </w:r>
    </w:p>
    <w:p w14:paraId="154D7FB4" w14:textId="77777777" w:rsidR="00FD2027" w:rsidRDefault="00000000">
      <w:pPr>
        <w:spacing w:after="60"/>
        <w:ind w:left="720"/>
      </w:pPr>
      <w:r>
        <w:rPr>
          <w:rFonts w:ascii="Calibri" w:hAnsi="Calibri"/>
        </w:rPr>
        <w:t>1. Transition from self-reliant wisdom acquisition to reliance on revealed Scripture (Torah)</w:t>
      </w:r>
    </w:p>
    <w:p w14:paraId="5928E1B3" w14:textId="77777777" w:rsidR="00FD2027" w:rsidRDefault="00000000">
      <w:pPr>
        <w:spacing w:after="60"/>
        <w:ind w:left="720"/>
      </w:pPr>
      <w:r>
        <w:rPr>
          <w:rFonts w:ascii="Calibri" w:hAnsi="Calibri"/>
        </w:rPr>
        <w:lastRenderedPageBreak/>
        <w:t>2. Re-connecting wisdom literature with the broader canonical faith of Israel</w:t>
      </w:r>
    </w:p>
    <w:p w14:paraId="10676A8B" w14:textId="77777777" w:rsidR="00FD2027" w:rsidRDefault="00000000">
      <w:pPr>
        <w:spacing w:before="80" w:after="120"/>
      </w:pPr>
      <w:r>
        <w:rPr>
          <w:rFonts w:ascii="Calibri" w:hAnsi="Calibri"/>
          <w:b/>
          <w:color w:val="003366"/>
          <w:sz w:val="23"/>
        </w:rPr>
        <w:t>VI. Agur’s Prayer for Balanced Provision (Verses 7–9)</w:t>
      </w:r>
    </w:p>
    <w:p w14:paraId="6A6F1A27" w14:textId="77777777" w:rsidR="00FD2027" w:rsidRDefault="00000000">
      <w:pPr>
        <w:spacing w:after="60"/>
        <w:ind w:left="360"/>
      </w:pPr>
      <w:r>
        <w:rPr>
          <w:rFonts w:ascii="Calibri" w:hAnsi="Calibri"/>
        </w:rPr>
        <w:t>A. Twofold Request Before Death</w:t>
      </w:r>
    </w:p>
    <w:p w14:paraId="434B4B32" w14:textId="77777777" w:rsidR="00FD2027" w:rsidRDefault="00000000">
      <w:pPr>
        <w:spacing w:after="60"/>
        <w:ind w:left="720"/>
      </w:pPr>
      <w:r>
        <w:rPr>
          <w:rFonts w:ascii="Calibri" w:hAnsi="Calibri"/>
        </w:rPr>
        <w:t>1. Removal of falsehood and lying (deceitfulness in self and others)</w:t>
      </w:r>
    </w:p>
    <w:p w14:paraId="3A908EC3" w14:textId="77777777" w:rsidR="00FD2027" w:rsidRDefault="00000000">
      <w:pPr>
        <w:spacing w:after="60"/>
        <w:ind w:left="720"/>
      </w:pPr>
      <w:r>
        <w:rPr>
          <w:rFonts w:ascii="Calibri" w:hAnsi="Calibri"/>
        </w:rPr>
        <w:t>2. Request for content sufficiency: "give me neither poverty nor riches"</w:t>
      </w:r>
    </w:p>
    <w:p w14:paraId="56C1A143" w14:textId="77777777" w:rsidR="00FD2027" w:rsidRDefault="00000000">
      <w:pPr>
        <w:spacing w:after="60"/>
        <w:ind w:left="360"/>
      </w:pPr>
      <w:r>
        <w:rPr>
          <w:rFonts w:ascii="Calibri" w:hAnsi="Calibri"/>
        </w:rPr>
        <w:t>B. Theological Rationale Against Extremes</w:t>
      </w:r>
    </w:p>
    <w:p w14:paraId="5D5459AF" w14:textId="77777777" w:rsidR="00FD2027" w:rsidRDefault="00000000">
      <w:pPr>
        <w:spacing w:after="60"/>
        <w:ind w:left="720"/>
      </w:pPr>
      <w:r>
        <w:rPr>
          <w:rFonts w:ascii="Calibri" w:hAnsi="Calibri"/>
        </w:rPr>
        <w:t>1. Danger of riches: Material abundance breeding self-reliance, arrogance, and denying God ("Who is the Lord?")</w:t>
      </w:r>
    </w:p>
    <w:p w14:paraId="08018052" w14:textId="77777777" w:rsidR="00FD2027" w:rsidRDefault="00000000">
      <w:pPr>
        <w:spacing w:after="60"/>
        <w:ind w:left="720"/>
      </w:pPr>
      <w:r>
        <w:rPr>
          <w:rFonts w:ascii="Calibri" w:hAnsi="Calibri"/>
        </w:rPr>
        <w:t>2. Danger of poverty: Desperation leading to theft and profaning the name of God</w:t>
      </w:r>
    </w:p>
    <w:p w14:paraId="3CA472ED" w14:textId="77777777" w:rsidR="00FD2027" w:rsidRDefault="00000000">
      <w:pPr>
        <w:spacing w:after="60"/>
        <w:ind w:left="360"/>
      </w:pPr>
      <w:r>
        <w:rPr>
          <w:rFonts w:ascii="Calibri" w:hAnsi="Calibri"/>
        </w:rPr>
        <w:t>C. Overcoming Pride and Self-Reliance</w:t>
      </w:r>
    </w:p>
    <w:p w14:paraId="0BD9BD3A" w14:textId="77777777" w:rsidR="00FD2027" w:rsidRDefault="00000000">
      <w:pPr>
        <w:spacing w:after="60"/>
        <w:ind w:left="720"/>
      </w:pPr>
      <w:r>
        <w:rPr>
          <w:rFonts w:ascii="Calibri" w:hAnsi="Calibri"/>
        </w:rPr>
        <w:t>1. The prayer as a commitment to radical trust in divine daily provision</w:t>
      </w:r>
    </w:p>
    <w:p w14:paraId="3B3D065B" w14:textId="77777777" w:rsidR="00FD2027" w:rsidRDefault="00000000">
      <w:pPr>
        <w:spacing w:after="60"/>
        <w:ind w:left="720"/>
      </w:pPr>
      <w:r>
        <w:rPr>
          <w:rFonts w:ascii="Calibri" w:hAnsi="Calibri"/>
        </w:rPr>
        <w:t>2. Finding true wisdom through humility, obedience, and spiritual middle ground</w:t>
      </w:r>
    </w:p>
    <w:sectPr w:rsidR="00FD2027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A45C9" w14:textId="77777777" w:rsidR="00CB55D6" w:rsidRDefault="00CB55D6">
      <w:pPr>
        <w:spacing w:after="0" w:line="240" w:lineRule="auto"/>
      </w:pPr>
      <w:r>
        <w:separator/>
      </w:r>
    </w:p>
  </w:endnote>
  <w:endnote w:type="continuationSeparator" w:id="0">
    <w:p w14:paraId="07BC1C3C" w14:textId="77777777" w:rsidR="00CB55D6" w:rsidRDefault="00CB5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77AE4" w14:textId="77777777" w:rsidR="00CB55D6" w:rsidRDefault="00CB55D6">
      <w:pPr>
        <w:spacing w:after="0" w:line="240" w:lineRule="auto"/>
      </w:pPr>
      <w:r>
        <w:separator/>
      </w:r>
    </w:p>
  </w:footnote>
  <w:footnote w:type="continuationSeparator" w:id="0">
    <w:p w14:paraId="41355AD8" w14:textId="77777777" w:rsidR="00CB55D6" w:rsidRDefault="00CB5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AD4F8" w14:textId="77777777" w:rsidR="00FD2027" w:rsidRDefault="00000000">
    <w:pPr>
      <w:pStyle w:val="Header"/>
      <w:jc w:val="right"/>
    </w:pPr>
    <w:r>
      <w:rPr>
        <w:rFonts w:ascii="Calibri" w:hAnsi="Calibri"/>
        <w:color w:val="646464"/>
        <w:sz w:val="18"/>
      </w:rPr>
      <w:t xml:space="preserve">Page </w:t>
    </w:r>
    <w:r>
      <w:fldChar w:fldCharType="begin"/>
    </w:r>
    <w:r>
      <w:instrText>PAGE</w:instrText>
    </w:r>
    <w:r>
      <w:fldChar w:fldCharType="separate"/>
    </w:r>
    <w:r w:rsidR="00C276A0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1804499">
    <w:abstractNumId w:val="8"/>
  </w:num>
  <w:num w:numId="2" w16cid:durableId="89351094">
    <w:abstractNumId w:val="6"/>
  </w:num>
  <w:num w:numId="3" w16cid:durableId="1865829583">
    <w:abstractNumId w:val="5"/>
  </w:num>
  <w:num w:numId="4" w16cid:durableId="9727161">
    <w:abstractNumId w:val="4"/>
  </w:num>
  <w:num w:numId="5" w16cid:durableId="893387877">
    <w:abstractNumId w:val="7"/>
  </w:num>
  <w:num w:numId="6" w16cid:durableId="56632909">
    <w:abstractNumId w:val="3"/>
  </w:num>
  <w:num w:numId="7" w16cid:durableId="1429736329">
    <w:abstractNumId w:val="2"/>
  </w:num>
  <w:num w:numId="8" w16cid:durableId="564224533">
    <w:abstractNumId w:val="1"/>
  </w:num>
  <w:num w:numId="9" w16cid:durableId="2097364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276A0"/>
    <w:rsid w:val="00CB0664"/>
    <w:rsid w:val="00CB55D6"/>
    <w:rsid w:val="00D704BE"/>
    <w:rsid w:val="00FC693F"/>
    <w:rsid w:val="00FD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4DC7D5"/>
  <w14:defaultImageDpi w14:val="300"/>
  <w15:docId w15:val="{ACFBAC6F-A40E-4757-AD46-F1976FE34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Ted Hildebrandt</cp:lastModifiedBy>
  <cp:revision>2</cp:revision>
  <dcterms:created xsi:type="dcterms:W3CDTF">2013-12-23T23:15:00Z</dcterms:created>
  <dcterms:modified xsi:type="dcterms:W3CDTF">2026-10-10T18:58:00Z</dcterms:modified>
  <cp:category/>
</cp:coreProperties>
</file>