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664450" w14:textId="258A2576" w:rsidR="00B6774B" w:rsidRDefault="00000000" w:rsidP="00F81CCD">
      <w:pPr>
        <w:spacing w:after="280"/>
        <w:jc w:val="center"/>
      </w:pPr>
      <w:r>
        <w:rPr>
          <w:rFonts w:ascii="Calibri" w:hAnsi="Calibri"/>
          <w:b/>
          <w:color w:val="1F4E79"/>
          <w:sz w:val="36"/>
        </w:rPr>
        <w:t>Proverbs, Lecture 14: Proverbs Chapters 22–24 and Amenemope</w:t>
      </w:r>
      <w:r>
        <w:rPr>
          <w:rFonts w:ascii="Calibri" w:hAnsi="Calibri"/>
          <w:b/>
          <w:color w:val="1F4E79"/>
          <w:sz w:val="36"/>
        </w:rPr>
        <w:br/>
      </w:r>
      <w:r>
        <w:rPr>
          <w:rFonts w:ascii="Calibri" w:hAnsi="Calibri"/>
          <w:b/>
          <w:sz w:val="24"/>
        </w:rPr>
        <w:t>Author: Dr. Knut Heim</w:t>
      </w:r>
      <w:r>
        <w:rPr>
          <w:rFonts w:ascii="Calibri" w:hAnsi="Calibri"/>
          <w:b/>
          <w:sz w:val="24"/>
        </w:rPr>
        <w:br/>
      </w:r>
      <w:r>
        <w:rPr>
          <w:rFonts w:ascii="Calibri" w:hAnsi="Calibri"/>
        </w:rPr>
        <w:t>Session</w:t>
      </w:r>
      <w:r w:rsidR="00F81CCD">
        <w:rPr>
          <w:rFonts w:ascii="Calibri" w:hAnsi="Calibri"/>
        </w:rPr>
        <w:t xml:space="preserve"> </w:t>
      </w:r>
      <w:r>
        <w:rPr>
          <w:rFonts w:ascii="Calibri" w:hAnsi="Calibri"/>
        </w:rPr>
        <w:t>14</w:t>
      </w:r>
      <w:r>
        <w:rPr>
          <w:rFonts w:ascii="Calibri" w:hAnsi="Calibri"/>
        </w:rPr>
        <w:br/>
      </w:r>
      <w:r>
        <w:rPr>
          <w:rFonts w:ascii="Calibri" w:hAnsi="Calibri"/>
          <w:i/>
          <w:color w:val="505050"/>
        </w:rPr>
        <w:t>Sponsored by Biblicalelearning.org by Ted Hildebrandt</w:t>
      </w:r>
      <w:r>
        <w:rPr>
          <w:rFonts w:ascii="Calibri" w:hAnsi="Calibri"/>
          <w:i/>
          <w:color w:val="505050"/>
        </w:rPr>
        <w:br/>
      </w:r>
    </w:p>
    <w:p w14:paraId="6D57606A" w14:textId="77777777" w:rsidR="00B6774B" w:rsidRDefault="00000000">
      <w:pPr>
        <w:spacing w:before="240" w:after="80"/>
      </w:pPr>
      <w:r>
        <w:rPr>
          <w:rFonts w:ascii="Calibri" w:hAnsi="Calibri"/>
          <w:b/>
          <w:color w:val="1F4E79"/>
          <w:sz w:val="28"/>
        </w:rPr>
        <w:t>Keywords</w:t>
      </w:r>
    </w:p>
    <w:p w14:paraId="4C1ABAEB" w14:textId="77777777" w:rsidR="00B6774B" w:rsidRDefault="00000000">
      <w:pPr>
        <w:spacing w:after="240"/>
      </w:pPr>
      <w:r>
        <w:rPr>
          <w:rFonts w:ascii="Calibri" w:hAnsi="Calibri"/>
        </w:rPr>
        <w:t>Proverbs, Amenemope, wisdom literature, boundary markers, thirty sayings, textual criticism, Collection 3, ancient Egypt, property rights, variant repetition</w:t>
      </w:r>
    </w:p>
    <w:p w14:paraId="38819F51" w14:textId="77777777" w:rsidR="00B6774B" w:rsidRDefault="00000000">
      <w:pPr>
        <w:spacing w:before="240" w:after="80"/>
      </w:pPr>
      <w:r>
        <w:rPr>
          <w:rFonts w:ascii="Calibri" w:hAnsi="Calibri"/>
          <w:b/>
          <w:color w:val="1F4E79"/>
          <w:sz w:val="28"/>
        </w:rPr>
        <w:t>Abstract</w:t>
      </w:r>
    </w:p>
    <w:p w14:paraId="5FC9A703" w14:textId="77777777" w:rsidR="00B6774B" w:rsidRDefault="00000000">
      <w:pPr>
        <w:spacing w:after="280"/>
      </w:pPr>
      <w:r>
        <w:rPr>
          <w:rFonts w:ascii="Calibri" w:hAnsi="Calibri"/>
        </w:rPr>
        <w:t>This lecture explores the cross-cultural relationship between the biblical Book of Proverbs (specifically Collection 3: Prov 22:17–24:22) and the ancient Egyptian Instruction of Amenemope. Dr. Knut Heim critically evaluates textual and translational issues in Proverbs 22:20—specifically the textual variation surrounding the Hebrew term (ketiv shilshom, qere shalishim, and Septuagint threis) modified by modern scholars to sheloshim ("thirty")—and cautions against forcing a strict thirty-saying structure onto the biblical text. Additionally, he analyzes the variant repetitions of boundary marker prohibitions in both Proverbs (Prov 22:28 and 23:10) and Amenemope (Chapter 6), demonstrating how biblical editors creatively adapted Egyptian literary techniques to reinforce moral teaching regarding property rights and the protection of the vulnerable.</w:t>
      </w:r>
    </w:p>
    <w:p w14:paraId="56190DF5" w14:textId="77777777" w:rsidR="00B6774B" w:rsidRDefault="00000000">
      <w:pPr>
        <w:spacing w:before="280" w:after="120"/>
      </w:pPr>
      <w:r>
        <w:rPr>
          <w:rFonts w:ascii="Calibri" w:hAnsi="Calibri"/>
          <w:b/>
          <w:color w:val="1F4E79"/>
          <w:sz w:val="28"/>
        </w:rPr>
        <w:t>Outline</w:t>
      </w:r>
    </w:p>
    <w:p w14:paraId="1A39511D" w14:textId="77777777" w:rsidR="00B6774B" w:rsidRDefault="00000000">
      <w:pPr>
        <w:spacing w:before="60" w:after="40"/>
      </w:pPr>
      <w:r>
        <w:rPr>
          <w:rFonts w:ascii="Calibri" w:hAnsi="Calibri"/>
          <w:b/>
          <w:color w:val="1F4E79"/>
        </w:rPr>
        <w:t>I. Introduction and Contextual Framing</w:t>
      </w:r>
    </w:p>
    <w:p w14:paraId="23E98899" w14:textId="77777777" w:rsidR="00B6774B" w:rsidRDefault="00000000">
      <w:pPr>
        <w:spacing w:before="20" w:after="40"/>
        <w:ind w:left="360"/>
      </w:pPr>
      <w:r>
        <w:rPr>
          <w:rFonts w:ascii="Calibri" w:hAnsi="Calibri"/>
        </w:rPr>
        <w:t>A. Review of international wisdom literature dimension from Lecture 13</w:t>
      </w:r>
    </w:p>
    <w:p w14:paraId="512A1EDC" w14:textId="77777777" w:rsidR="00B6774B" w:rsidRDefault="00000000">
      <w:pPr>
        <w:spacing w:before="20" w:after="40"/>
        <w:ind w:left="360"/>
      </w:pPr>
      <w:r>
        <w:rPr>
          <w:rFonts w:ascii="Calibri" w:hAnsi="Calibri"/>
        </w:rPr>
        <w:t>B. Terminology problematization: poetic literature integrating theology into human life</w:t>
      </w:r>
    </w:p>
    <w:p w14:paraId="57EED07C" w14:textId="77777777" w:rsidR="00B6774B" w:rsidRDefault="00000000">
      <w:pPr>
        <w:spacing w:before="20" w:after="40"/>
        <w:ind w:left="360"/>
      </w:pPr>
      <w:r>
        <w:rPr>
          <w:rFonts w:ascii="Calibri" w:hAnsi="Calibri"/>
        </w:rPr>
        <w:t>C. Focus of Lecture 14: Parallel between Egyptian Instruction of Amenemope and Proverbs Collection 3 (Prov 22:17–24:22)</w:t>
      </w:r>
    </w:p>
    <w:p w14:paraId="7FC11AD5" w14:textId="77777777" w:rsidR="00B6774B" w:rsidRDefault="00000000">
      <w:pPr>
        <w:spacing w:before="60" w:after="40"/>
      </w:pPr>
      <w:r>
        <w:rPr>
          <w:rFonts w:ascii="Calibri" w:hAnsi="Calibri"/>
          <w:b/>
          <w:color w:val="1F4E79"/>
        </w:rPr>
        <w:t>II. Evaluation of Bruce Waltke’s Structural Analysis</w:t>
      </w:r>
    </w:p>
    <w:p w14:paraId="2E2F4BE6" w14:textId="77777777" w:rsidR="00B6774B" w:rsidRDefault="00000000">
      <w:pPr>
        <w:spacing w:before="20" w:after="40"/>
        <w:ind w:left="360"/>
      </w:pPr>
      <w:r>
        <w:rPr>
          <w:rFonts w:ascii="Calibri" w:hAnsi="Calibri"/>
        </w:rPr>
        <w:t>A. Overview of Waltke's commentary on Amenemope (1186–1069 BC) and Proverbs</w:t>
      </w:r>
    </w:p>
    <w:p w14:paraId="677F8D65" w14:textId="77777777" w:rsidR="00B6774B" w:rsidRDefault="00000000">
      <w:pPr>
        <w:spacing w:before="20" w:after="40"/>
        <w:ind w:left="360"/>
      </w:pPr>
      <w:r>
        <w:rPr>
          <w:rFonts w:ascii="Calibri" w:hAnsi="Calibri"/>
        </w:rPr>
        <w:t>B. The concept of 30 sayings derived from Amenemope section 27, line 6</w:t>
      </w:r>
    </w:p>
    <w:p w14:paraId="2360498A" w14:textId="77777777" w:rsidR="00B6774B" w:rsidRDefault="00000000">
      <w:pPr>
        <w:spacing w:before="20" w:after="40"/>
        <w:ind w:left="360"/>
      </w:pPr>
      <w:r>
        <w:rPr>
          <w:rFonts w:ascii="Calibri" w:hAnsi="Calibri"/>
        </w:rPr>
        <w:t>C. Limits of material dependence: direct connection only in first 11 sayings (22:17–23:11)</w:t>
      </w:r>
    </w:p>
    <w:p w14:paraId="3FF1F18C" w14:textId="77777777" w:rsidR="00B6774B" w:rsidRDefault="00000000">
      <w:pPr>
        <w:spacing w:before="20" w:after="40"/>
        <w:ind w:left="360"/>
      </w:pPr>
      <w:r>
        <w:rPr>
          <w:rFonts w:ascii="Calibri" w:hAnsi="Calibri"/>
        </w:rPr>
        <w:t>D. Incorporation of Aramaic/Akkadian and broader Egyptian traditions in subsequent sayings</w:t>
      </w:r>
    </w:p>
    <w:p w14:paraId="3FCC6D76" w14:textId="77777777" w:rsidR="00B6774B" w:rsidRDefault="00000000">
      <w:pPr>
        <w:spacing w:before="60" w:after="40"/>
      </w:pPr>
      <w:r>
        <w:rPr>
          <w:rFonts w:ascii="Calibri" w:hAnsi="Calibri"/>
          <w:b/>
          <w:color w:val="1F4E79"/>
        </w:rPr>
        <w:t>III. Textual and Translational Critique of Proverbs 22:20</w:t>
      </w:r>
    </w:p>
    <w:p w14:paraId="20902D66" w14:textId="77777777" w:rsidR="00B6774B" w:rsidRDefault="00000000">
      <w:pPr>
        <w:spacing w:before="20" w:after="40"/>
        <w:ind w:left="360"/>
      </w:pPr>
      <w:r>
        <w:rPr>
          <w:rFonts w:ascii="Calibri" w:hAnsi="Calibri"/>
        </w:rPr>
        <w:t>A. Analysis of the Hebrew textual traditions in Biblia Hebraica Stuttgartensia (BHS)</w:t>
      </w:r>
    </w:p>
    <w:p w14:paraId="562A5A40" w14:textId="77777777" w:rsidR="00B6774B" w:rsidRDefault="00000000">
      <w:pPr>
        <w:spacing w:before="20" w:after="40"/>
        <w:ind w:left="720"/>
      </w:pPr>
      <w:r>
        <w:rPr>
          <w:rFonts w:ascii="Calibri" w:hAnsi="Calibri"/>
        </w:rPr>
        <w:t>1. Ketiv (written form): shilshom ("former" or "ancient sayings")</w:t>
      </w:r>
    </w:p>
    <w:p w14:paraId="31D52BEF" w14:textId="77777777" w:rsidR="00B6774B" w:rsidRDefault="00000000">
      <w:pPr>
        <w:spacing w:before="20" w:after="40"/>
        <w:ind w:left="720"/>
      </w:pPr>
      <w:r>
        <w:rPr>
          <w:rFonts w:ascii="Calibri" w:hAnsi="Calibri"/>
        </w:rPr>
        <w:t>2. Qere (read form): shalishim ("noble sayings")</w:t>
      </w:r>
    </w:p>
    <w:p w14:paraId="5A032BC4" w14:textId="77777777" w:rsidR="00B6774B" w:rsidRDefault="00000000">
      <w:pPr>
        <w:spacing w:before="20" w:after="40"/>
        <w:ind w:left="360"/>
      </w:pPr>
      <w:r>
        <w:rPr>
          <w:rFonts w:ascii="Calibri" w:hAnsi="Calibri"/>
        </w:rPr>
        <w:lastRenderedPageBreak/>
        <w:t>B. Ancient translation witness: Septuagint (LXX) reads threis ("three")</w:t>
      </w:r>
    </w:p>
    <w:p w14:paraId="46B2E408" w14:textId="77777777" w:rsidR="00B6774B" w:rsidRDefault="00000000">
      <w:pPr>
        <w:spacing w:before="20" w:after="40"/>
        <w:ind w:left="360"/>
      </w:pPr>
      <w:r>
        <w:rPr>
          <w:rFonts w:ascii="Calibri" w:hAnsi="Calibri"/>
        </w:rPr>
        <w:t>C. Modern textual emendation to sheloshim ("thirty sayings") in NRSV and commentaries (Waltke, Fox)</w:t>
      </w:r>
    </w:p>
    <w:p w14:paraId="57E2DAFA" w14:textId="77777777" w:rsidR="00B6774B" w:rsidRDefault="00000000">
      <w:pPr>
        <w:spacing w:before="20" w:after="40"/>
        <w:ind w:left="720"/>
      </w:pPr>
      <w:r>
        <w:rPr>
          <w:rFonts w:ascii="Calibri" w:hAnsi="Calibri"/>
        </w:rPr>
        <w:t>1. Lack of critical footnotes in translations like NRSV regarding Egyptian-driven emendation</w:t>
      </w:r>
    </w:p>
    <w:p w14:paraId="34F77B05" w14:textId="77777777" w:rsidR="00B6774B" w:rsidRDefault="00000000">
      <w:pPr>
        <w:spacing w:before="20" w:after="40"/>
        <w:ind w:left="720"/>
      </w:pPr>
      <w:r>
        <w:rPr>
          <w:rFonts w:ascii="Calibri" w:hAnsi="Calibri"/>
        </w:rPr>
        <w:t>2. Critique of Waltke's arbitrary division of Collection 3 into exactly 30 numbered units</w:t>
      </w:r>
    </w:p>
    <w:p w14:paraId="15372C43" w14:textId="77777777" w:rsidR="00B6774B" w:rsidRDefault="00000000">
      <w:pPr>
        <w:spacing w:before="20" w:after="40"/>
        <w:ind w:left="360"/>
      </w:pPr>
      <w:r>
        <w:rPr>
          <w:rFonts w:ascii="Calibri" w:hAnsi="Calibri"/>
        </w:rPr>
        <w:t>D. Conclusion on translation impact: international context influences translations, though core theology remains intact</w:t>
      </w:r>
    </w:p>
    <w:p w14:paraId="00A9B7B9" w14:textId="77777777" w:rsidR="00B6774B" w:rsidRDefault="00000000">
      <w:pPr>
        <w:spacing w:before="60" w:after="40"/>
      </w:pPr>
      <w:r>
        <w:rPr>
          <w:rFonts w:ascii="Calibri" w:hAnsi="Calibri"/>
          <w:b/>
          <w:color w:val="1F4E79"/>
        </w:rPr>
        <w:t>IV. Case Study on Variant Repetition: Boundary Markers</w:t>
      </w:r>
    </w:p>
    <w:p w14:paraId="09F9DC39" w14:textId="77777777" w:rsidR="00B6774B" w:rsidRDefault="00000000">
      <w:pPr>
        <w:spacing w:before="20" w:after="40"/>
        <w:ind w:left="360"/>
      </w:pPr>
      <w:r>
        <w:rPr>
          <w:rFonts w:ascii="Calibri" w:hAnsi="Calibri"/>
        </w:rPr>
        <w:t>A. Textual comparison within Proverbs Collection 3</w:t>
      </w:r>
    </w:p>
    <w:p w14:paraId="51822A09" w14:textId="77777777" w:rsidR="00B6774B" w:rsidRDefault="00000000">
      <w:pPr>
        <w:spacing w:before="20" w:after="40"/>
        <w:ind w:left="720"/>
      </w:pPr>
      <w:r>
        <w:rPr>
          <w:rFonts w:ascii="Calibri" w:hAnsi="Calibri"/>
        </w:rPr>
        <w:t>1. Proverbs 22:28: Prohibition against removing ancient landmarks set by ancestors</w:t>
      </w:r>
    </w:p>
    <w:p w14:paraId="09936A83" w14:textId="77777777" w:rsidR="00B6774B" w:rsidRDefault="00000000">
      <w:pPr>
        <w:spacing w:before="20" w:after="40"/>
        <w:ind w:left="720"/>
      </w:pPr>
      <w:r>
        <w:rPr>
          <w:rFonts w:ascii="Calibri" w:hAnsi="Calibri"/>
        </w:rPr>
        <w:t>2. Proverbs 23:10–11: Prohibition against removing landmarks/encroaching on fields of orphans, with theological motivation (Redeemer/Lord is strong)</w:t>
      </w:r>
    </w:p>
    <w:p w14:paraId="7769C71A" w14:textId="77777777" w:rsidR="00B6774B" w:rsidRDefault="00000000">
      <w:pPr>
        <w:spacing w:before="20" w:after="40"/>
        <w:ind w:left="360"/>
      </w:pPr>
      <w:r>
        <w:rPr>
          <w:rFonts w:ascii="Calibri" w:hAnsi="Calibri"/>
        </w:rPr>
        <w:t>B. Editorial significance: variant repetition as a conscious, ubiquitous editorial strategy within 12 verses (70-verse collection)</w:t>
      </w:r>
    </w:p>
    <w:p w14:paraId="30083465" w14:textId="77777777" w:rsidR="00B6774B" w:rsidRDefault="00000000">
      <w:pPr>
        <w:spacing w:before="20" w:after="40"/>
        <w:ind w:left="360"/>
      </w:pPr>
      <w:r>
        <w:rPr>
          <w:rFonts w:ascii="Calibri" w:hAnsi="Calibri"/>
        </w:rPr>
        <w:t>C. Parallels in Egyptian Instruction of Amenemope (Chapter 6, plate 7 line 11 to plate 9 line 8)</w:t>
      </w:r>
    </w:p>
    <w:p w14:paraId="45CEDB96" w14:textId="77777777" w:rsidR="00B6774B" w:rsidRDefault="00000000">
      <w:pPr>
        <w:spacing w:before="20" w:after="40"/>
        <w:ind w:left="720"/>
      </w:pPr>
      <w:r>
        <w:rPr>
          <w:rFonts w:ascii="Calibri" w:hAnsi="Calibri"/>
        </w:rPr>
        <w:t>1. Repeated prohibitions against moving field boundary markers and shifting measuring cords</w:t>
      </w:r>
    </w:p>
    <w:p w14:paraId="2BCADB9D" w14:textId="77777777" w:rsidR="00B6774B" w:rsidRDefault="00000000">
      <w:pPr>
        <w:spacing w:before="20" w:after="40"/>
        <w:ind w:left="720"/>
      </w:pPr>
      <w:r>
        <w:rPr>
          <w:rFonts w:ascii="Calibri" w:hAnsi="Calibri"/>
        </w:rPr>
        <w:t>2. Mention of vulnerable groups (widows in Amenemope; widows and orphans in biblical text)</w:t>
      </w:r>
    </w:p>
    <w:p w14:paraId="2057F2E0" w14:textId="77777777" w:rsidR="00B6774B" w:rsidRDefault="00000000">
      <w:pPr>
        <w:spacing w:before="20" w:after="40"/>
        <w:ind w:left="720"/>
      </w:pPr>
      <w:r>
        <w:rPr>
          <w:rFonts w:ascii="Calibri" w:hAnsi="Calibri"/>
        </w:rPr>
        <w:t>3. Theological motivation: pleasing God/might of the Lord by respecting land borders</w:t>
      </w:r>
    </w:p>
    <w:p w14:paraId="690D30DF" w14:textId="77777777" w:rsidR="00B6774B" w:rsidRDefault="00000000">
      <w:pPr>
        <w:spacing w:before="60" w:after="40"/>
      </w:pPr>
      <w:r>
        <w:rPr>
          <w:rFonts w:ascii="Calibri" w:hAnsi="Calibri"/>
          <w:b/>
          <w:color w:val="1F4E79"/>
        </w:rPr>
        <w:t>V. Synthesis and Pedagogical Conclusions</w:t>
      </w:r>
    </w:p>
    <w:p w14:paraId="3A18CF60" w14:textId="77777777" w:rsidR="00B6774B" w:rsidRDefault="00000000">
      <w:pPr>
        <w:spacing w:before="20" w:after="40"/>
        <w:ind w:left="360"/>
      </w:pPr>
      <w:r>
        <w:rPr>
          <w:rFonts w:ascii="Calibri" w:hAnsi="Calibri"/>
        </w:rPr>
        <w:t>A. Creative adaptation: Proverbs does not passively copy Amenemope but adapts source material creatively</w:t>
      </w:r>
    </w:p>
    <w:p w14:paraId="64D87315" w14:textId="77777777" w:rsidR="00B6774B" w:rsidRDefault="00000000">
      <w:pPr>
        <w:spacing w:before="20" w:after="40"/>
        <w:ind w:left="360"/>
      </w:pPr>
      <w:r>
        <w:rPr>
          <w:rFonts w:ascii="Calibri" w:hAnsi="Calibri"/>
        </w:rPr>
        <w:t>B. Repeating of repetitions: Proverbs mimics Amenemope’s internal editorial technique of repeating key ethical commands</w:t>
      </w:r>
    </w:p>
    <w:p w14:paraId="5EC3EB55" w14:textId="77777777" w:rsidR="00B6774B" w:rsidRDefault="00000000">
      <w:pPr>
        <w:spacing w:before="20" w:after="40"/>
        <w:ind w:left="360"/>
      </w:pPr>
      <w:r>
        <w:rPr>
          <w:rFonts w:ascii="Calibri" w:hAnsi="Calibri"/>
        </w:rPr>
        <w:t>C. Societal purpose: shared international emphasis on protecting the property rights of the vulnerable for societal well-being</w:t>
      </w:r>
    </w:p>
    <w:sectPr w:rsidR="00B6774B" w:rsidSect="00034616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590586" w14:textId="77777777" w:rsidR="005C06EB" w:rsidRDefault="005C06EB">
      <w:pPr>
        <w:spacing w:after="0" w:line="240" w:lineRule="auto"/>
      </w:pPr>
      <w:r>
        <w:separator/>
      </w:r>
    </w:p>
  </w:endnote>
  <w:endnote w:type="continuationSeparator" w:id="0">
    <w:p w14:paraId="6570E6EC" w14:textId="77777777" w:rsidR="005C06EB" w:rsidRDefault="005C06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045C23" w14:textId="77777777" w:rsidR="005C06EB" w:rsidRDefault="005C06EB">
      <w:pPr>
        <w:spacing w:after="0" w:line="240" w:lineRule="auto"/>
      </w:pPr>
      <w:r>
        <w:separator/>
      </w:r>
    </w:p>
  </w:footnote>
  <w:footnote w:type="continuationSeparator" w:id="0">
    <w:p w14:paraId="435B9E46" w14:textId="77777777" w:rsidR="005C06EB" w:rsidRDefault="005C06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42A915" w14:textId="77777777" w:rsidR="00B6774B" w:rsidRDefault="00000000">
    <w:pPr>
      <w:pStyle w:val="Header"/>
      <w:jc w:val="right"/>
    </w:pPr>
    <w:r>
      <w:rPr>
        <w:rFonts w:ascii="Calibri" w:hAnsi="Calibri"/>
        <w:color w:val="646464"/>
        <w:sz w:val="20"/>
      </w:rPr>
      <w:fldChar w:fldCharType="begin"/>
    </w:r>
    <w:r>
      <w:rPr>
        <w:rFonts w:ascii="Calibri" w:hAnsi="Calibri"/>
        <w:color w:val="646464"/>
        <w:sz w:val="20"/>
      </w:rPr>
      <w:instrText>PAGE</w:instrText>
    </w:r>
    <w:r>
      <w:rPr>
        <w:rFonts w:ascii="Calibri" w:hAnsi="Calibri"/>
        <w:color w:val="646464"/>
        <w:sz w:val="20"/>
      </w:rPr>
      <w:fldChar w:fldCharType="separate"/>
    </w:r>
    <w:r w:rsidR="00F81CCD">
      <w:rPr>
        <w:rFonts w:ascii="Calibri" w:hAnsi="Calibri"/>
        <w:noProof/>
        <w:color w:val="646464"/>
        <w:sz w:val="20"/>
      </w:rPr>
      <w:t>1</w:t>
    </w:r>
    <w:r>
      <w:rPr>
        <w:rFonts w:ascii="Calibri" w:hAnsi="Calibri"/>
        <w:color w:val="646464"/>
        <w:sz w:val="20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91448933">
    <w:abstractNumId w:val="8"/>
  </w:num>
  <w:num w:numId="2" w16cid:durableId="1623419421">
    <w:abstractNumId w:val="6"/>
  </w:num>
  <w:num w:numId="3" w16cid:durableId="1851984542">
    <w:abstractNumId w:val="5"/>
  </w:num>
  <w:num w:numId="4" w16cid:durableId="975060573">
    <w:abstractNumId w:val="4"/>
  </w:num>
  <w:num w:numId="5" w16cid:durableId="343673707">
    <w:abstractNumId w:val="7"/>
  </w:num>
  <w:num w:numId="6" w16cid:durableId="796216887">
    <w:abstractNumId w:val="3"/>
  </w:num>
  <w:num w:numId="7" w16cid:durableId="1970545348">
    <w:abstractNumId w:val="2"/>
  </w:num>
  <w:num w:numId="8" w16cid:durableId="1560744863">
    <w:abstractNumId w:val="1"/>
  </w:num>
  <w:num w:numId="9" w16cid:durableId="3514941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5C06EB"/>
    <w:rsid w:val="00AA1D8D"/>
    <w:rsid w:val="00B47730"/>
    <w:rsid w:val="00B6774B"/>
    <w:rsid w:val="00CB0664"/>
    <w:rsid w:val="00D704BE"/>
    <w:rsid w:val="00F81CC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A0A9D57"/>
  <w14:defaultImageDpi w14:val="300"/>
  <w15:docId w15:val="{ACFBAC6F-A40E-4757-AD46-F1976FE34C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574</Words>
  <Characters>3274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3841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Ted Hildebrandt</cp:lastModifiedBy>
  <cp:revision>2</cp:revision>
  <dcterms:created xsi:type="dcterms:W3CDTF">2013-12-23T23:15:00Z</dcterms:created>
  <dcterms:modified xsi:type="dcterms:W3CDTF">2026-10-10T18:59:00Z</dcterms:modified>
  <cp:category/>
</cp:coreProperties>
</file>