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AF93" w14:textId="08031BDD" w:rsidR="00922010" w:rsidRDefault="00000000" w:rsidP="007E063A">
      <w:pPr>
        <w:spacing w:after="40"/>
        <w:jc w:val="center"/>
      </w:pPr>
      <w:r>
        <w:rPr>
          <w:b/>
          <w:color w:val="1F4E79"/>
          <w:sz w:val="36"/>
        </w:rPr>
        <w:t>Proverbs 11:22 – Gold Ring in a Pig's Snout</w:t>
      </w:r>
      <w:r>
        <w:rPr>
          <w:b/>
          <w:color w:val="1F4E79"/>
          <w:sz w:val="36"/>
        </w:rPr>
        <w:br/>
      </w:r>
      <w:r>
        <w:rPr>
          <w:i/>
          <w:color w:val="595959"/>
        </w:rPr>
        <w:t>Author: Dr. Knut Heim | Session 11</w:t>
      </w:r>
      <w:r>
        <w:rPr>
          <w:i/>
          <w:color w:val="595959"/>
        </w:rPr>
        <w:br/>
        <w:t>Sponsored by Biblicalelearning.org by Ted Hildebrandt</w:t>
      </w:r>
    </w:p>
    <w:p w14:paraId="64AAD386" w14:textId="77777777" w:rsidR="00922010" w:rsidRDefault="00000000">
      <w:pPr>
        <w:spacing w:before="240"/>
      </w:pPr>
      <w:r>
        <w:rPr>
          <w:b/>
          <w:color w:val="1F4E79"/>
          <w:sz w:val="28"/>
        </w:rPr>
        <w:t>Keywords</w:t>
      </w:r>
    </w:p>
    <w:p w14:paraId="08819599" w14:textId="77777777" w:rsidR="00922010" w:rsidRDefault="00000000">
      <w:pPr>
        <w:spacing w:after="240"/>
      </w:pPr>
      <w:r>
        <w:t>Proverbs 11:22, Knut Heim, Gold Ring, Pig Snout, Parallelism, Gender, Discretion, Simile, Hermeneutics, Marriage Advice</w:t>
      </w:r>
    </w:p>
    <w:p w14:paraId="6E54C0DB" w14:textId="77777777" w:rsidR="00922010" w:rsidRDefault="00000000">
      <w:pPr>
        <w:spacing w:before="240"/>
      </w:pPr>
      <w:r>
        <w:rPr>
          <w:b/>
          <w:color w:val="1F4E79"/>
          <w:sz w:val="28"/>
        </w:rPr>
        <w:t>Abstract</w:t>
      </w:r>
    </w:p>
    <w:p w14:paraId="44778D31" w14:textId="77777777" w:rsidR="00922010" w:rsidRDefault="00000000">
      <w:pPr>
        <w:spacing w:after="320"/>
      </w:pPr>
      <w:r>
        <w:t>In this lecture, Dr. Knut Heim provides a detailed syntactic, literary, and poetic re-examination of Proverbs 11:22 ("Like a gold ring in a pig's snout is a beautiful woman without sense"). He surveys historical and modern commentary traditions that traditionally equate the indiscreet woman with a pig, showing instead that the syntactic parallelism actually compares the woman to the valuable gold ring and her misplaced lack of discretion to the ring's inappropriate placement in a pig's snout. By contextualizing the verse within the broader Book of Proverbs as marital counsel for young men, Heim reveals that the proverb uses double-entendre and sarcasm to warn young men against prioritizing superficial beauty over character. Ultimately, the text humorously cautions that a man who chooses a partner solely for her looks becomes the metaphorical pig, led around by the nose.</w:t>
      </w:r>
    </w:p>
    <w:p w14:paraId="39705F8D" w14:textId="77777777" w:rsidR="00922010" w:rsidRDefault="00000000">
      <w:pPr>
        <w:spacing w:before="240" w:after="160"/>
      </w:pPr>
      <w:r>
        <w:rPr>
          <w:b/>
          <w:color w:val="1F4E79"/>
          <w:sz w:val="28"/>
        </w:rPr>
        <w:t>Outline</w:t>
      </w:r>
    </w:p>
    <w:p w14:paraId="270E7A64" w14:textId="77777777" w:rsidR="00922010" w:rsidRDefault="00000000">
      <w:pPr>
        <w:spacing w:before="80" w:after="40"/>
      </w:pPr>
      <w:r>
        <w:rPr>
          <w:b/>
          <w:color w:val="1F4E79"/>
        </w:rPr>
        <w:t>I. Introduction and Methodological Framework</w:t>
      </w:r>
    </w:p>
    <w:p w14:paraId="717A23D2" w14:textId="77777777" w:rsidR="00922010" w:rsidRDefault="00000000">
      <w:pPr>
        <w:spacing w:before="40" w:after="40"/>
        <w:ind w:left="504"/>
      </w:pPr>
      <w:r>
        <w:t>A. Proverbs as Imaginative and Contextual Literature</w:t>
      </w:r>
    </w:p>
    <w:p w14:paraId="75BD12CA" w14:textId="77777777" w:rsidR="00922010" w:rsidRDefault="00000000">
      <w:pPr>
        <w:spacing w:before="40" w:after="40"/>
        <w:ind w:left="504"/>
      </w:pPr>
      <w:r>
        <w:t>B. Individual Proverb Study vs. Proverb Clusters (Proverbs 11:22 Standing Independently)</w:t>
      </w:r>
    </w:p>
    <w:p w14:paraId="7186D7F9" w14:textId="77777777" w:rsidR="00922010" w:rsidRDefault="00000000">
      <w:pPr>
        <w:spacing w:before="40" w:after="40"/>
        <w:ind w:left="504"/>
      </w:pPr>
      <w:r>
        <w:t>C. Core Thesis: Re-evaluating Traditional Interpretations Through Syntactic Structure, Parallelism, and Metaphor Theory</w:t>
      </w:r>
    </w:p>
    <w:p w14:paraId="5D1870C1" w14:textId="77777777" w:rsidR="00922010" w:rsidRDefault="00000000">
      <w:pPr>
        <w:spacing w:before="80" w:after="40"/>
      </w:pPr>
      <w:r>
        <w:rPr>
          <w:b/>
          <w:color w:val="1F4E79"/>
        </w:rPr>
        <w:t>II. History of Interpretation and Critical Review of Literature</w:t>
      </w:r>
    </w:p>
    <w:p w14:paraId="0DAA7B5A" w14:textId="77777777" w:rsidR="00922010" w:rsidRDefault="00000000">
      <w:pPr>
        <w:spacing w:before="40" w:after="40"/>
        <w:ind w:left="504"/>
      </w:pPr>
      <w:r>
        <w:t>A. Late 19th Century Foundations</w:t>
      </w:r>
    </w:p>
    <w:p w14:paraId="604ADA00" w14:textId="77777777" w:rsidR="00922010" w:rsidRDefault="00000000">
      <w:pPr>
        <w:spacing w:before="40" w:after="40"/>
        <w:ind w:left="1008"/>
      </w:pPr>
      <w:r>
        <w:t>1. Franz Delitzsch (1873): Emblematic Proverb (Picture and Caption Model Equating Woman with Pig)</w:t>
      </w:r>
    </w:p>
    <w:p w14:paraId="329A1595" w14:textId="77777777" w:rsidR="00922010" w:rsidRDefault="00000000">
      <w:pPr>
        <w:spacing w:before="40" w:after="40"/>
        <w:ind w:left="1008"/>
      </w:pPr>
      <w:r>
        <w:t>2. C.H. Toy (1899): Equation of Beauty/Deformity with Gold Ring and Woman with Unclean Beast</w:t>
      </w:r>
    </w:p>
    <w:p w14:paraId="5C3AB7F7" w14:textId="77777777" w:rsidR="00922010" w:rsidRDefault="00000000">
      <w:pPr>
        <w:spacing w:before="40" w:after="40"/>
        <w:ind w:left="504"/>
      </w:pPr>
      <w:r>
        <w:t>B. 20th Century Developments</w:t>
      </w:r>
    </w:p>
    <w:p w14:paraId="53B05978" w14:textId="77777777" w:rsidR="00922010" w:rsidRDefault="00000000">
      <w:pPr>
        <w:spacing w:before="40" w:after="40"/>
        <w:ind w:left="1008"/>
      </w:pPr>
      <w:r>
        <w:t>1. William McKane (1970): Gold Ring as Physical Beauty, Pig Snout as Woman Lacking Taste</w:t>
      </w:r>
    </w:p>
    <w:p w14:paraId="2F652929" w14:textId="77777777" w:rsidR="00922010" w:rsidRDefault="00000000">
      <w:pPr>
        <w:spacing w:before="40" w:after="40"/>
        <w:ind w:left="1008"/>
      </w:pPr>
      <w:r>
        <w:t>2. Otto Ploeger (1984): Focus on Outward Adornment vs. Inner Values (Generalizing to Humanity)</w:t>
      </w:r>
    </w:p>
    <w:p w14:paraId="56E8D832" w14:textId="77777777" w:rsidR="00922010" w:rsidRDefault="00000000">
      <w:pPr>
        <w:spacing w:before="40" w:after="40"/>
        <w:ind w:left="1008"/>
      </w:pPr>
      <w:r>
        <w:t>3. Derek Kidner (1985) and Arndt Meinhold (1991): Recognition of Sarcastic Exaggeration and Gender Sensitivity</w:t>
      </w:r>
    </w:p>
    <w:p w14:paraId="3DBAC8E3" w14:textId="77777777" w:rsidR="00922010" w:rsidRDefault="00000000">
      <w:pPr>
        <w:spacing w:before="40" w:after="40"/>
        <w:ind w:left="1008"/>
      </w:pPr>
      <w:r>
        <w:t>4. Duane Garrett (1993): Inappropriateness of Beauty Without Discretion</w:t>
      </w:r>
    </w:p>
    <w:p w14:paraId="41B97452" w14:textId="77777777" w:rsidR="00922010" w:rsidRDefault="00000000">
      <w:pPr>
        <w:spacing w:before="40" w:after="40"/>
        <w:ind w:left="504"/>
      </w:pPr>
      <w:r>
        <w:lastRenderedPageBreak/>
        <w:t>C. Modern and Female Scholarly Contributions</w:t>
      </w:r>
    </w:p>
    <w:p w14:paraId="02B04F0D" w14:textId="77777777" w:rsidR="00922010" w:rsidRDefault="00000000">
      <w:pPr>
        <w:spacing w:before="40" w:after="40"/>
        <w:ind w:left="1008"/>
      </w:pPr>
      <w:r>
        <w:t>1. R.N. Whybray (1994) and Richard Clifford (1999): Advice on Marriage and Spouse Selection</w:t>
      </w:r>
    </w:p>
    <w:p w14:paraId="40D5505B" w14:textId="77777777" w:rsidR="00922010" w:rsidRDefault="00000000">
      <w:pPr>
        <w:spacing w:before="40" w:after="40"/>
        <w:ind w:left="1008"/>
      </w:pPr>
      <w:r>
        <w:t>2. Athanasia Brenner (1995), Judith McKinley (1996), and Carol Fontaine (1998): Examining Gender Dynamics, Patriarchal Context, and Literary Connectivity</w:t>
      </w:r>
    </w:p>
    <w:p w14:paraId="52789A76" w14:textId="77777777" w:rsidR="00922010" w:rsidRDefault="00000000">
      <w:pPr>
        <w:spacing w:before="40" w:after="40"/>
        <w:ind w:left="1008"/>
      </w:pPr>
      <w:r>
        <w:t>3. Roland Murphy (1998) and Bruce Waltke (2004): Sarcasm, Grotesque Imagery, and Moral Apostasy</w:t>
      </w:r>
    </w:p>
    <w:p w14:paraId="77CA84D2" w14:textId="77777777" w:rsidR="00922010" w:rsidRDefault="00000000">
      <w:pPr>
        <w:spacing w:before="40" w:after="40"/>
        <w:ind w:left="1008"/>
      </w:pPr>
      <w:r>
        <w:t>4. Knut Heim (2001): Earlier Contextual Reading Within Proverbs 11:22–31</w:t>
      </w:r>
    </w:p>
    <w:p w14:paraId="2F5651F8" w14:textId="77777777" w:rsidR="00922010" w:rsidRDefault="00000000">
      <w:pPr>
        <w:spacing w:before="80" w:after="40"/>
      </w:pPr>
      <w:r>
        <w:rPr>
          <w:b/>
          <w:color w:val="1F4E79"/>
        </w:rPr>
        <w:t>III. The Literary and Hermeneutical Context of the Book of Proverbs</w:t>
      </w:r>
    </w:p>
    <w:p w14:paraId="1D935D4E" w14:textId="77777777" w:rsidR="00922010" w:rsidRDefault="00000000">
      <w:pPr>
        <w:spacing w:before="40" w:after="40"/>
        <w:ind w:left="504"/>
      </w:pPr>
      <w:r>
        <w:t>A. Presence of Female Imagery and Speakers Across Collections (219 Verses, 23.5% of the Book)</w:t>
      </w:r>
    </w:p>
    <w:p w14:paraId="396F3461" w14:textId="77777777" w:rsidR="00922010" w:rsidRDefault="00000000">
      <w:pPr>
        <w:spacing w:before="40" w:after="40"/>
        <w:ind w:left="504"/>
      </w:pPr>
      <w:r>
        <w:t>B. Bookending Frame: Proverbs 1–9 and Proverbs 31</w:t>
      </w:r>
    </w:p>
    <w:p w14:paraId="7A394C2B" w14:textId="77777777" w:rsidR="00922010" w:rsidRDefault="00000000">
      <w:pPr>
        <w:spacing w:before="40" w:after="40"/>
        <w:ind w:left="504"/>
      </w:pPr>
      <w:r>
        <w:t>C. Three Primary Societal and Pedagogical Reasons for Female Preoccupation</w:t>
      </w:r>
    </w:p>
    <w:p w14:paraId="032C1326" w14:textId="77777777" w:rsidR="00922010" w:rsidRDefault="00000000">
      <w:pPr>
        <w:spacing w:before="40" w:after="40"/>
        <w:ind w:left="1008"/>
      </w:pPr>
      <w:r>
        <w:t>1. Grammatical Rendering of Abstract Nouns (e.g., Wisdom / Hokmah) as Feminine</w:t>
      </w:r>
    </w:p>
    <w:p w14:paraId="4CE7404B" w14:textId="77777777" w:rsidR="00922010" w:rsidRDefault="00000000">
      <w:pPr>
        <w:spacing w:before="40" w:after="40"/>
        <w:ind w:left="1008"/>
      </w:pPr>
      <w:r>
        <w:t>2. Instruction in Gender Relations for Young Male Addressees</w:t>
      </w:r>
    </w:p>
    <w:p w14:paraId="5E9A4C85" w14:textId="77777777" w:rsidR="00922010" w:rsidRDefault="00000000">
      <w:pPr>
        <w:spacing w:before="40" w:after="40"/>
        <w:ind w:left="1008"/>
      </w:pPr>
      <w:r>
        <w:t>3. Social Preparation for Young Leaders Regarding Healthy Relationships and Family Integrity</w:t>
      </w:r>
    </w:p>
    <w:p w14:paraId="607681E6" w14:textId="77777777" w:rsidR="00922010" w:rsidRDefault="00000000">
      <w:pPr>
        <w:spacing w:before="80" w:after="40"/>
      </w:pPr>
      <w:r>
        <w:rPr>
          <w:b/>
          <w:color w:val="1F4E79"/>
        </w:rPr>
        <w:t>IV. Detailed Syntactic and Poetic Analysis of Proverbs 11:22</w:t>
      </w:r>
    </w:p>
    <w:p w14:paraId="3D6250DC" w14:textId="77777777" w:rsidR="00922010" w:rsidRDefault="00000000">
      <w:pPr>
        <w:spacing w:before="40" w:after="40"/>
        <w:ind w:left="504"/>
      </w:pPr>
      <w:r>
        <w:t>A. Hebrew Structure: Eight Words, Balanced Hemistichs (4 Words Each)</w:t>
      </w:r>
    </w:p>
    <w:p w14:paraId="7FC4EEDF" w14:textId="77777777" w:rsidR="00922010" w:rsidRDefault="00000000">
      <w:pPr>
        <w:spacing w:before="40" w:after="40"/>
        <w:ind w:left="1008"/>
      </w:pPr>
      <w:r>
        <w:t>1. First Hemistich: Netzem Zahav Ba'av Chatzir (A Gold Ring in the Snout of a Pig)</w:t>
      </w:r>
    </w:p>
    <w:p w14:paraId="410CD0E1" w14:textId="77777777" w:rsidR="00922010" w:rsidRDefault="00000000">
      <w:pPr>
        <w:spacing w:before="40" w:after="40"/>
        <w:ind w:left="1008"/>
      </w:pPr>
      <w:r>
        <w:t>2. Second Hemistich: Isha Yafa V'sarat Ta'am (A Beautiful Woman Without Discretion)</w:t>
      </w:r>
    </w:p>
    <w:p w14:paraId="23B628EC" w14:textId="77777777" w:rsidR="00922010" w:rsidRDefault="00000000">
      <w:pPr>
        <w:spacing w:before="40" w:after="40"/>
        <w:ind w:left="504"/>
      </w:pPr>
      <w:r>
        <w:t>B. Syntactic Parallelism and Metaphorical Correspondence</w:t>
      </w:r>
    </w:p>
    <w:p w14:paraId="1E4CAFC4" w14:textId="77777777" w:rsidR="00922010" w:rsidRDefault="00000000">
      <w:pPr>
        <w:spacing w:before="40" w:after="40"/>
        <w:ind w:left="1008"/>
      </w:pPr>
      <w:r>
        <w:t>1. Woman (Isha) is Syntactically Parallel to Ring (Netzem), Not Pig (Chatzir)</w:t>
      </w:r>
    </w:p>
    <w:p w14:paraId="7EFFB75C" w14:textId="77777777" w:rsidR="00922010" w:rsidRDefault="00000000">
      <w:pPr>
        <w:spacing w:before="40" w:after="40"/>
        <w:ind w:left="1008"/>
      </w:pPr>
      <w:r>
        <w:t>2. Gold (Zahav) Corresponds to Beauty (Yafa)</w:t>
      </w:r>
    </w:p>
    <w:p w14:paraId="332A375D" w14:textId="77777777" w:rsidR="00922010" w:rsidRDefault="00000000">
      <w:pPr>
        <w:spacing w:before="40" w:after="40"/>
        <w:ind w:left="1008"/>
      </w:pPr>
      <w:r>
        <w:t>3. Placement in Pig's Snout (Ba'av Chatzir) Corresponds to Departure from Discretion (Sarat Ta'am)</w:t>
      </w:r>
    </w:p>
    <w:p w14:paraId="759AB6D6" w14:textId="77777777" w:rsidR="00922010" w:rsidRDefault="00000000">
      <w:pPr>
        <w:spacing w:before="40" w:after="40"/>
        <w:ind w:left="504"/>
      </w:pPr>
      <w:r>
        <w:t>C. Reification and Comparative Nuance</w:t>
      </w:r>
    </w:p>
    <w:p w14:paraId="4B651798" w14:textId="77777777" w:rsidR="00922010" w:rsidRDefault="00000000">
      <w:pPr>
        <w:spacing w:before="40" w:after="40"/>
        <w:ind w:left="1008"/>
      </w:pPr>
      <w:r>
        <w:t>1. Treating a Person Like a Precious Object (Ring) Rather Than an Animal (Pig)</w:t>
      </w:r>
    </w:p>
    <w:p w14:paraId="0046F2C5" w14:textId="77777777" w:rsidR="00922010" w:rsidRDefault="00000000">
      <w:pPr>
        <w:spacing w:before="40" w:after="40"/>
        <w:ind w:left="1008"/>
      </w:pPr>
      <w:r>
        <w:t>2. Exposing a Value System That Commodifies Beauty</w:t>
      </w:r>
    </w:p>
    <w:p w14:paraId="3CDC2D28" w14:textId="77777777" w:rsidR="00922010" w:rsidRDefault="00000000">
      <w:pPr>
        <w:spacing w:before="80" w:after="40"/>
      </w:pPr>
      <w:r>
        <w:rPr>
          <w:b/>
          <w:color w:val="1F4E79"/>
        </w:rPr>
        <w:t>V. Pragmatic Application and Concluding Synthesis</w:t>
      </w:r>
    </w:p>
    <w:p w14:paraId="65BD3D35" w14:textId="77777777" w:rsidR="00922010" w:rsidRDefault="00000000">
      <w:pPr>
        <w:spacing w:before="40" w:after="40"/>
        <w:ind w:left="504"/>
      </w:pPr>
      <w:r>
        <w:t>A. Performance Contexts (Claudia Kamp) and Practical Social Dynamics</w:t>
      </w:r>
    </w:p>
    <w:p w14:paraId="27E21523" w14:textId="77777777" w:rsidR="00922010" w:rsidRDefault="00000000">
      <w:pPr>
        <w:spacing w:before="40" w:after="40"/>
        <w:ind w:left="504"/>
      </w:pPr>
      <w:r>
        <w:t>B. Warning to Young Men in Spouse Selection</w:t>
      </w:r>
    </w:p>
    <w:p w14:paraId="2751B55C" w14:textId="77777777" w:rsidR="00922010" w:rsidRDefault="00000000">
      <w:pPr>
        <w:spacing w:before="40" w:after="40"/>
        <w:ind w:left="1008"/>
      </w:pPr>
      <w:r>
        <w:t>1. Distinction Between Superficial Ornament and True Social Grace (Ta'am)</w:t>
      </w:r>
    </w:p>
    <w:p w14:paraId="04A75581" w14:textId="77777777" w:rsidR="00922010" w:rsidRDefault="00000000">
      <w:pPr>
        <w:spacing w:before="40" w:after="40"/>
        <w:ind w:left="1008"/>
      </w:pPr>
      <w:r>
        <w:t>2. Connection to Proverbs 12:4 ("A Good Wife is the Crown/Ornament of Her Husband")</w:t>
      </w:r>
    </w:p>
    <w:p w14:paraId="2287E97E" w14:textId="77777777" w:rsidR="00922010" w:rsidRDefault="00000000">
      <w:pPr>
        <w:spacing w:before="40" w:after="40"/>
        <w:ind w:left="504"/>
      </w:pPr>
      <w:r>
        <w:t>C. The Dual Imagery of the Nose Ring and Final Irony</w:t>
      </w:r>
    </w:p>
    <w:p w14:paraId="53154005" w14:textId="77777777" w:rsidR="00922010" w:rsidRDefault="00000000">
      <w:pPr>
        <w:spacing w:before="40" w:after="40"/>
        <w:ind w:left="1008"/>
      </w:pPr>
      <w:r>
        <w:t>1. Decorative Nose Ring Worn by Women vs. Utility Ring Placed in the Snout of Unruly Animals/Pigs</w:t>
      </w:r>
    </w:p>
    <w:p w14:paraId="7145D0F6" w14:textId="77777777" w:rsidR="00922010" w:rsidRDefault="00000000">
      <w:pPr>
        <w:spacing w:before="40" w:after="40"/>
        <w:ind w:left="1008"/>
      </w:pPr>
      <w:r>
        <w:t>2. Ultimate Sarcasm: The Young Man Prioritizing Looks Becomes the Pig, Led by the Nose by an Indiscreet Spouse</w:t>
      </w:r>
    </w:p>
    <w:sectPr w:rsidR="00922010" w:rsidSect="00034616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E07B1" w14:textId="77777777" w:rsidR="00AB09A6" w:rsidRDefault="00AB09A6">
      <w:pPr>
        <w:spacing w:after="0" w:line="240" w:lineRule="auto"/>
      </w:pPr>
      <w:r>
        <w:separator/>
      </w:r>
    </w:p>
  </w:endnote>
  <w:endnote w:type="continuationSeparator" w:id="0">
    <w:p w14:paraId="551C8320" w14:textId="77777777" w:rsidR="00AB09A6" w:rsidRDefault="00AB09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656849" w14:textId="77777777" w:rsidR="00AB09A6" w:rsidRDefault="00AB09A6">
      <w:pPr>
        <w:spacing w:after="0" w:line="240" w:lineRule="auto"/>
      </w:pPr>
      <w:r>
        <w:separator/>
      </w:r>
    </w:p>
  </w:footnote>
  <w:footnote w:type="continuationSeparator" w:id="0">
    <w:p w14:paraId="2393F1E2" w14:textId="77777777" w:rsidR="00AB09A6" w:rsidRDefault="00AB09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C5F7F" w14:textId="77777777" w:rsidR="00922010" w:rsidRDefault="00000000">
    <w:pPr>
      <w:pStyle w:val="Header"/>
      <w:jc w:val="right"/>
    </w:pPr>
    <w:r>
      <w:fldChar w:fldCharType="begin"/>
    </w:r>
    <w:r>
      <w:instrText>PAGE</w:instrText>
    </w:r>
    <w:r>
      <w:fldChar w:fldCharType="separate"/>
    </w:r>
    <w:r w:rsidR="007E063A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1577635">
    <w:abstractNumId w:val="8"/>
  </w:num>
  <w:num w:numId="2" w16cid:durableId="1157456454">
    <w:abstractNumId w:val="6"/>
  </w:num>
  <w:num w:numId="3" w16cid:durableId="146675099">
    <w:abstractNumId w:val="5"/>
  </w:num>
  <w:num w:numId="4" w16cid:durableId="1852526584">
    <w:abstractNumId w:val="4"/>
  </w:num>
  <w:num w:numId="5" w16cid:durableId="1617633782">
    <w:abstractNumId w:val="7"/>
  </w:num>
  <w:num w:numId="6" w16cid:durableId="162015209">
    <w:abstractNumId w:val="3"/>
  </w:num>
  <w:num w:numId="7" w16cid:durableId="1158619715">
    <w:abstractNumId w:val="2"/>
  </w:num>
  <w:num w:numId="8" w16cid:durableId="1928150532">
    <w:abstractNumId w:val="1"/>
  </w:num>
  <w:num w:numId="9" w16cid:durableId="15375474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E063A"/>
    <w:rsid w:val="00922010"/>
    <w:rsid w:val="00AA1D8D"/>
    <w:rsid w:val="00AB09A6"/>
    <w:rsid w:val="00B47730"/>
    <w:rsid w:val="00CB0664"/>
    <w:rsid w:val="00D704B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10E557"/>
  <w14:defaultImageDpi w14:val="300"/>
  <w15:docId w15:val="{ACFBAC6F-A40E-4757-AD46-F1976FE34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33333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Ted Hildebrandt</cp:lastModifiedBy>
  <cp:revision>2</cp:revision>
  <dcterms:created xsi:type="dcterms:W3CDTF">2013-12-23T23:15:00Z</dcterms:created>
  <dcterms:modified xsi:type="dcterms:W3CDTF">2026-10-10T19:00:00Z</dcterms:modified>
  <cp:category/>
</cp:coreProperties>
</file>