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1B365D"/>
          <w:sz w:val="36"/>
        </w:rPr>
        <w:t>Parallelism, Variant Repetitions, and Structural Design in Proverbs 1–9</w:t>
      </w:r>
    </w:p>
    <w:p>
      <w:pPr>
        <w:spacing w:after="360"/>
        <w:jc w:val="center"/>
      </w:pPr>
      <w:r>
        <w:rPr>
          <w:rFonts w:ascii="Calibri" w:hAnsi="Calibri"/>
          <w:b/>
          <w:color w:val="404040"/>
          <w:sz w:val="24"/>
        </w:rPr>
        <w:t>Dr. Knut Heim  |  Session 04</w:t>
        <w:br/>
      </w:r>
      <w:r>
        <w:rPr>
          <w:rFonts w:ascii="Calibri" w:hAnsi="Calibri"/>
          <w:i/>
          <w:color w:val="595959"/>
          <w:sz w:val="22"/>
        </w:rPr>
        <w:t>Sponsored by Biblicalelearning.org by Ted Hildebrandt</w:t>
      </w:r>
    </w:p>
    <w:p>
      <w:pPr>
        <w:keepNext/>
        <w:spacing w:before="280" w:after="80"/>
      </w:pPr>
      <w:r>
        <w:rPr>
          <w:rFonts w:ascii="Calibri" w:hAnsi="Calibri"/>
          <w:b/>
          <w:color w:val="1B365D"/>
          <w:sz w:val="28"/>
        </w:rPr>
        <w:t>Keywords</w:t>
      </w:r>
    </w:p>
    <w:p>
      <w:pPr>
        <w:spacing w:after="240"/>
      </w:pPr>
      <w:r>
        <w:rPr>
          <w:rFonts w:ascii="Calibri" w:hAnsi="Calibri"/>
          <w:sz w:val="22"/>
        </w:rPr>
        <w:t>Parallelism, Lowth, Repetition, Proverb, Hebrew, Ellipsis, Syntax, Exordium, Ambiguity</w:t>
      </w:r>
    </w:p>
    <w:p>
      <w:pPr>
        <w:keepNext/>
        <w:spacing w:before="280" w:after="80"/>
      </w:pPr>
      <w:r>
        <w:rPr>
          <w:rFonts w:ascii="Calibri" w:hAnsi="Calibri"/>
          <w:b/>
          <w:color w:val="1B365D"/>
          <w:sz w:val="28"/>
        </w:rPr>
        <w:t>Abstract</w:t>
      </w:r>
    </w:p>
    <w:p>
      <w:pPr>
        <w:spacing w:after="280" w:line="276" w:lineRule="auto"/>
      </w:pPr>
      <w:r>
        <w:rPr>
          <w:rFonts w:ascii="Calibri" w:hAnsi="Calibri"/>
          <w:sz w:val="22"/>
        </w:rPr>
        <w:t>This lecture examines the methodological framework for reading biblical poetry in Proverbs, focusing on parallelism, variant repetitions, and the structural design of chapters 1–9. Dr. Knut Heim challenges Bishop Robert Lowth’s traditional three-tier classification of synonymous, antithetic, and synthetic parallelism, advocating instead for an expanded view encompassing semi-linear, intra-linear, inter-linear, and trans-linear levels. The lecture demonstrates that poetic variations, deliberate ambiguity, ellipsis, and imprecise parallelism are intentional literary techniques that maximize meaning and stimulate imaginative interpretation rather than textual flaws requiring emendation. Finally, Heim analyzes the macro-structure of Proverbs 1–9, arguing that recurring introductory formulas across its ten lectures reflect purposeful editorial design rather than independent, piecemeal collections.</w:t>
      </w:r>
    </w:p>
    <w:p>
      <w:pPr>
        <w:keepNext/>
        <w:spacing w:before="280" w:after="80"/>
      </w:pPr>
      <w:r>
        <w:rPr>
          <w:rFonts w:ascii="Calibri" w:hAnsi="Calibri"/>
          <w:b/>
          <w:color w:val="1B365D"/>
          <w:sz w:val="28"/>
        </w:rPr>
        <w:t>Outline</w:t>
      </w:r>
    </w:p>
    <w:p>
      <w:pPr>
        <w:spacing w:before="160" w:after="60" w:line="276" w:lineRule="auto"/>
        <w:ind w:left="0"/>
      </w:pPr>
      <w:r>
        <w:rPr>
          <w:rFonts w:ascii="Calibri" w:hAnsi="Calibri"/>
          <w:b/>
          <w:color w:val="1B365D"/>
          <w:sz w:val="22"/>
        </w:rPr>
        <w:t>I. Introduction to Methodological Foundations in Proverbs</w:t>
      </w:r>
    </w:p>
    <w:p>
      <w:pPr>
        <w:spacing w:before="60" w:after="60" w:line="276" w:lineRule="auto"/>
        <w:ind w:left="504"/>
      </w:pPr>
      <w:r>
        <w:rPr>
          <w:rFonts w:ascii="Calibri" w:hAnsi="Calibri"/>
          <w:sz w:val="22"/>
        </w:rPr>
        <w:t>A. Overview of the Three Key Focus Areas</w:t>
      </w:r>
    </w:p>
    <w:p>
      <w:pPr>
        <w:spacing w:before="60" w:after="60" w:line="276" w:lineRule="auto"/>
        <w:ind w:left="1008"/>
      </w:pPr>
      <w:r>
        <w:rPr>
          <w:rFonts w:ascii="Calibri" w:hAnsi="Calibri"/>
          <w:sz w:val="22"/>
        </w:rPr>
        <w:t>1. Poetic parallelism in biblical poetry</w:t>
      </w:r>
    </w:p>
    <w:p>
      <w:pPr>
        <w:spacing w:before="60" w:after="60" w:line="276" w:lineRule="auto"/>
        <w:ind w:left="1008"/>
      </w:pPr>
      <w:r>
        <w:rPr>
          <w:rFonts w:ascii="Calibri" w:hAnsi="Calibri"/>
          <w:sz w:val="22"/>
        </w:rPr>
        <w:t>2. Variant repetitions throughout the Book of Proverbs</w:t>
      </w:r>
    </w:p>
    <w:p>
      <w:pPr>
        <w:spacing w:before="60" w:after="60" w:line="276" w:lineRule="auto"/>
        <w:ind w:left="1008"/>
      </w:pPr>
      <w:r>
        <w:rPr>
          <w:rFonts w:ascii="Calibri" w:hAnsi="Calibri"/>
          <w:sz w:val="22"/>
        </w:rPr>
        <w:t>3. Structural design and architecture of Proverbs 1–9</w:t>
      </w:r>
    </w:p>
    <w:p>
      <w:pPr>
        <w:spacing w:before="60" w:after="60" w:line="276" w:lineRule="auto"/>
        <w:ind w:left="504"/>
      </w:pPr>
      <w:r>
        <w:rPr>
          <w:rFonts w:ascii="Calibri" w:hAnsi="Calibri"/>
          <w:sz w:val="22"/>
        </w:rPr>
        <w:t>B. Purpose and Goal of the Lecture</w:t>
      </w:r>
    </w:p>
    <w:p>
      <w:pPr>
        <w:spacing w:before="60" w:after="60" w:line="276" w:lineRule="auto"/>
        <w:ind w:left="1008"/>
      </w:pPr>
      <w:r>
        <w:rPr>
          <w:rFonts w:ascii="Calibri" w:hAnsi="Calibri"/>
          <w:sz w:val="22"/>
        </w:rPr>
        <w:t>1. Establish theoretical background to inspire deeper reading</w:t>
      </w:r>
    </w:p>
    <w:p>
      <w:pPr>
        <w:spacing w:before="60" w:after="60" w:line="276" w:lineRule="auto"/>
        <w:ind w:left="1008"/>
      </w:pPr>
      <w:r>
        <w:rPr>
          <w:rFonts w:ascii="Calibri" w:hAnsi="Calibri"/>
          <w:sz w:val="22"/>
        </w:rPr>
        <w:t>2. Appreciate language artistry, complexity, and poetic beauty in Proverbs</w:t>
      </w:r>
    </w:p>
    <w:p>
      <w:pPr>
        <w:spacing w:before="160" w:after="60" w:line="276" w:lineRule="auto"/>
        <w:ind w:left="0"/>
      </w:pPr>
      <w:r>
        <w:rPr>
          <w:rFonts w:ascii="Calibri" w:hAnsi="Calibri"/>
          <w:b/>
          <w:color w:val="1B365D"/>
          <w:sz w:val="22"/>
        </w:rPr>
        <w:t>II. Survey and Critique of Bishop Robert Lowth’s Parallelism Paradigm</w:t>
      </w:r>
    </w:p>
    <w:p>
      <w:pPr>
        <w:spacing w:before="60" w:after="60" w:line="276" w:lineRule="auto"/>
        <w:ind w:left="504"/>
      </w:pPr>
      <w:r>
        <w:rPr>
          <w:rFonts w:ascii="Calibri" w:hAnsi="Calibri"/>
          <w:sz w:val="22"/>
        </w:rPr>
        <w:t>A. The Traditional Paradigm (1753–Present)</w:t>
      </w:r>
    </w:p>
    <w:p>
      <w:pPr>
        <w:spacing w:before="60" w:after="60" w:line="276" w:lineRule="auto"/>
        <w:ind w:left="1008"/>
      </w:pPr>
      <w:r>
        <w:rPr>
          <w:rFonts w:ascii="Calibri" w:hAnsi="Calibri"/>
          <w:sz w:val="22"/>
        </w:rPr>
        <w:t xml:space="preserve">1. Origin: Bishop Robert Lowth’s </w:t>
      </w:r>
      <w:r>
        <w:rPr>
          <w:rFonts w:ascii="Calibri" w:hAnsi="Calibri"/>
          <w:b/>
          <w:sz w:val="22"/>
        </w:rPr>
        <w:t>De Sacra Poesiae Hebraeorum</w:t>
      </w:r>
      <w:r>
        <w:rPr>
          <w:rFonts w:ascii="Calibri" w:hAnsi="Calibri"/>
          <w:sz w:val="22"/>
        </w:rPr>
        <w:t xml:space="preserve"> lectures at Oxford</w:t>
      </w:r>
    </w:p>
    <w:p>
      <w:pPr>
        <w:spacing w:before="60" w:after="60" w:line="276" w:lineRule="auto"/>
        <w:ind w:left="1008"/>
      </w:pPr>
      <w:r>
        <w:rPr>
          <w:rFonts w:ascii="Calibri" w:hAnsi="Calibri"/>
          <w:sz w:val="22"/>
        </w:rPr>
        <w:t xml:space="preserve">2. Dominance of </w:t>
      </w:r>
      <w:r>
        <w:rPr>
          <w:rFonts w:ascii="Calibri" w:hAnsi="Calibri"/>
          <w:b/>
          <w:sz w:val="22"/>
        </w:rPr>
        <w:t>Parallelismus Membrorum</w:t>
      </w:r>
      <w:r>
        <w:rPr>
          <w:rFonts w:ascii="Calibri" w:hAnsi="Calibri"/>
          <w:sz w:val="22"/>
        </w:rPr>
        <w:t xml:space="preserve"> (parallelism of members) in biblical studies</w:t>
      </w:r>
    </w:p>
    <w:p>
      <w:pPr>
        <w:spacing w:before="60" w:after="60" w:line="276" w:lineRule="auto"/>
        <w:ind w:left="504"/>
      </w:pPr>
      <w:r>
        <w:rPr>
          <w:rFonts w:ascii="Calibri" w:hAnsi="Calibri"/>
          <w:sz w:val="22"/>
        </w:rPr>
        <w:t>B. Lowth’s Three Categories of Parallelism</w:t>
      </w:r>
    </w:p>
    <w:p>
      <w:pPr>
        <w:spacing w:before="60" w:after="60" w:line="276" w:lineRule="auto"/>
        <w:ind w:left="1008"/>
      </w:pPr>
      <w:r>
        <w:rPr>
          <w:rFonts w:ascii="Calibri" w:hAnsi="Calibri"/>
          <w:sz w:val="22"/>
        </w:rPr>
        <w:t>1. Synonymous parallelism: Restating the same sense in equivalent terms (e.g., Psalm 103:1; Proverbs 18:15)</w:t>
      </w:r>
    </w:p>
    <w:p>
      <w:pPr>
        <w:spacing w:before="60" w:after="60" w:line="276" w:lineRule="auto"/>
        <w:ind w:left="1008"/>
      </w:pPr>
      <w:r>
        <w:rPr>
          <w:rFonts w:ascii="Calibri" w:hAnsi="Calibri"/>
          <w:sz w:val="22"/>
        </w:rPr>
        <w:t>2. Antithetical parallelism: Correspondence through contrasting terms and sentiments (e.g., Proverbs 13:9)</w:t>
      </w:r>
    </w:p>
    <w:p>
      <w:pPr>
        <w:spacing w:before="60" w:after="60" w:line="276" w:lineRule="auto"/>
        <w:ind w:left="1008"/>
      </w:pPr>
      <w:r>
        <w:rPr>
          <w:rFonts w:ascii="Calibri" w:hAnsi="Calibri"/>
          <w:sz w:val="22"/>
        </w:rPr>
        <w:t>3. Synthetic parallelism: Parallelism consisting solely of similar construction or form (e.g., Proverbs 16:12)</w:t>
      </w:r>
    </w:p>
    <w:p>
      <w:pPr>
        <w:spacing w:before="60" w:after="60" w:line="276" w:lineRule="auto"/>
        <w:ind w:left="504"/>
      </w:pPr>
      <w:r>
        <w:rPr>
          <w:rFonts w:ascii="Calibri" w:hAnsi="Calibri"/>
          <w:sz w:val="22"/>
        </w:rPr>
        <w:t>C. Functional Misapplications of Lowth’s Model</w:t>
      </w:r>
    </w:p>
    <w:p>
      <w:pPr>
        <w:spacing w:before="60" w:after="60" w:line="276" w:lineRule="auto"/>
        <w:ind w:left="1008"/>
      </w:pPr>
      <w:r>
        <w:rPr>
          <w:rFonts w:ascii="Calibri" w:hAnsi="Calibri"/>
          <w:sz w:val="22"/>
        </w:rPr>
        <w:t>1. Lexicography: Assuming obscure words must mean the exact same as parallel terms</w:t>
      </w:r>
    </w:p>
    <w:p>
      <w:pPr>
        <w:spacing w:before="60" w:after="60" w:line="276" w:lineRule="auto"/>
        <w:ind w:left="1008"/>
      </w:pPr>
      <w:r>
        <w:rPr>
          <w:rFonts w:ascii="Calibri" w:hAnsi="Calibri"/>
          <w:sz w:val="22"/>
        </w:rPr>
        <w:t>2. Textual Criticism: Conjectural emendations to "fix" imprecise parallelism (e.g., Clifford’s emendation of Proverbs 29:6)</w:t>
      </w:r>
    </w:p>
    <w:p>
      <w:pPr>
        <w:spacing w:before="60" w:after="60" w:line="276" w:lineRule="auto"/>
        <w:ind w:left="1008"/>
      </w:pPr>
      <w:r>
        <w:rPr>
          <w:rFonts w:ascii="Calibri" w:hAnsi="Calibri"/>
          <w:sz w:val="22"/>
        </w:rPr>
        <w:t>3. Methodological flaw: Altering textual evidence to fit a rigid theoretical paradigm</w:t>
      </w:r>
    </w:p>
    <w:p>
      <w:pPr>
        <w:spacing w:before="160" w:after="60" w:line="276" w:lineRule="auto"/>
        <w:ind w:left="0"/>
      </w:pPr>
      <w:r>
        <w:rPr>
          <w:rFonts w:ascii="Calibri" w:hAnsi="Calibri"/>
          <w:b/>
          <w:color w:val="1B365D"/>
          <w:sz w:val="22"/>
        </w:rPr>
        <w:t>III. Expanding the Four Levels of Poetic Parallelism</w:t>
      </w:r>
    </w:p>
    <w:p>
      <w:pPr>
        <w:spacing w:before="60" w:after="60" w:line="276" w:lineRule="auto"/>
        <w:ind w:left="504"/>
      </w:pPr>
      <w:r>
        <w:rPr>
          <w:rFonts w:ascii="Calibri" w:hAnsi="Calibri"/>
          <w:sz w:val="22"/>
        </w:rPr>
        <w:t>A. Semi-Linear Parallelism</w:t>
      </w:r>
    </w:p>
    <w:p>
      <w:pPr>
        <w:spacing w:before="60" w:after="60" w:line="276" w:lineRule="auto"/>
        <w:ind w:left="1008"/>
      </w:pPr>
      <w:r>
        <w:rPr>
          <w:rFonts w:ascii="Calibri" w:hAnsi="Calibri"/>
          <w:sz w:val="22"/>
        </w:rPr>
        <w:t>1. Definition: Parallelism within the partial line / half-line level</w:t>
      </w:r>
    </w:p>
    <w:p>
      <w:pPr>
        <w:spacing w:before="60" w:after="60" w:line="276" w:lineRule="auto"/>
        <w:ind w:left="1008"/>
      </w:pPr>
      <w:r>
        <w:rPr>
          <w:rFonts w:ascii="Calibri" w:hAnsi="Calibri"/>
          <w:sz w:val="22"/>
        </w:rPr>
        <w:t>2. Scholarship: Wilfred Watson’s research on internal/half-line parallelism</w:t>
      </w:r>
    </w:p>
    <w:p>
      <w:pPr>
        <w:spacing w:before="60" w:after="60" w:line="276" w:lineRule="auto"/>
        <w:ind w:left="1008"/>
      </w:pPr>
      <w:r>
        <w:rPr>
          <w:rFonts w:ascii="Calibri" w:hAnsi="Calibri"/>
          <w:sz w:val="22"/>
        </w:rPr>
        <w:t>3. Example: Proverbs 6:10 (identical to Proverbs 24:33)</w:t>
      </w:r>
    </w:p>
    <w:p>
      <w:pPr>
        <w:spacing w:before="60" w:after="60" w:line="276" w:lineRule="auto"/>
        <w:ind w:left="504"/>
      </w:pPr>
      <w:r>
        <w:rPr>
          <w:rFonts w:ascii="Calibri" w:hAnsi="Calibri"/>
          <w:sz w:val="22"/>
        </w:rPr>
        <w:t>B. Intra-Linear Parallelism</w:t>
      </w:r>
    </w:p>
    <w:p>
      <w:pPr>
        <w:spacing w:before="60" w:after="60" w:line="276" w:lineRule="auto"/>
        <w:ind w:left="1008"/>
      </w:pPr>
      <w:r>
        <w:rPr>
          <w:rFonts w:ascii="Calibri" w:hAnsi="Calibri"/>
          <w:sz w:val="22"/>
        </w:rPr>
        <w:t>1. Definition: Parallelism between partial lines within one and the same verse</w:t>
      </w:r>
    </w:p>
    <w:p>
      <w:pPr>
        <w:spacing w:before="60" w:after="60" w:line="276" w:lineRule="auto"/>
        <w:ind w:left="1008"/>
      </w:pPr>
      <w:r>
        <w:rPr>
          <w:rFonts w:ascii="Calibri" w:hAnsi="Calibri"/>
          <w:sz w:val="22"/>
        </w:rPr>
        <w:t>2. Standard level corresponding to Lowth’s classic description</w:t>
      </w:r>
    </w:p>
    <w:p>
      <w:pPr>
        <w:spacing w:before="60" w:after="60" w:line="276" w:lineRule="auto"/>
        <w:ind w:left="504"/>
      </w:pPr>
      <w:r>
        <w:rPr>
          <w:rFonts w:ascii="Calibri" w:hAnsi="Calibri"/>
          <w:sz w:val="22"/>
        </w:rPr>
        <w:t>C. Inter-Linear Parallelism</w:t>
      </w:r>
    </w:p>
    <w:p>
      <w:pPr>
        <w:spacing w:before="60" w:after="60" w:line="276" w:lineRule="auto"/>
        <w:ind w:left="1008"/>
      </w:pPr>
      <w:r>
        <w:rPr>
          <w:rFonts w:ascii="Calibri" w:hAnsi="Calibri"/>
          <w:sz w:val="22"/>
        </w:rPr>
        <w:t>1. Definition: Correspondence between adjacent poetic lines or successive verses</w:t>
      </w:r>
    </w:p>
    <w:p>
      <w:pPr>
        <w:spacing w:before="60" w:after="60" w:line="276" w:lineRule="auto"/>
        <w:ind w:left="1008"/>
      </w:pPr>
      <w:r>
        <w:rPr>
          <w:rFonts w:ascii="Calibri" w:hAnsi="Calibri"/>
          <w:sz w:val="22"/>
        </w:rPr>
        <w:t>2. Scholarship: Insights from Robert Alter</w:t>
      </w:r>
    </w:p>
    <w:p>
      <w:pPr>
        <w:spacing w:before="60" w:after="60" w:line="276" w:lineRule="auto"/>
        <w:ind w:left="1008"/>
      </w:pPr>
      <w:r>
        <w:rPr>
          <w:rFonts w:ascii="Calibri" w:hAnsi="Calibri"/>
          <w:sz w:val="22"/>
        </w:rPr>
        <w:t>3. Classic example: Proverbs 26:4–5 (juxtaposed instructions on answering a fool)</w:t>
      </w:r>
    </w:p>
    <w:p>
      <w:pPr>
        <w:spacing w:before="60" w:after="60" w:line="276" w:lineRule="auto"/>
        <w:ind w:left="504"/>
      </w:pPr>
      <w:r>
        <w:rPr>
          <w:rFonts w:ascii="Calibri" w:hAnsi="Calibri"/>
          <w:sz w:val="22"/>
        </w:rPr>
        <w:t>D. Trans-Linear Parallelism</w:t>
      </w:r>
    </w:p>
    <w:p>
      <w:pPr>
        <w:spacing w:before="60" w:after="60" w:line="276" w:lineRule="auto"/>
        <w:ind w:left="1008"/>
      </w:pPr>
      <w:r>
        <w:rPr>
          <w:rFonts w:ascii="Calibri" w:hAnsi="Calibri"/>
          <w:sz w:val="22"/>
        </w:rPr>
        <w:t>1. Definition: Correspondence between non-adjacent lines separated by intervening verses</w:t>
      </w:r>
    </w:p>
    <w:p>
      <w:pPr>
        <w:spacing w:before="60" w:after="60" w:line="276" w:lineRule="auto"/>
        <w:ind w:left="1008"/>
      </w:pPr>
      <w:r>
        <w:rPr>
          <w:rFonts w:ascii="Calibri" w:hAnsi="Calibri"/>
          <w:sz w:val="22"/>
        </w:rPr>
        <w:t>2. Function: Establishes contextual continuity across larger sections (e.g., Proverbs 10:6b vs. 10:11b)</w:t>
      </w:r>
    </w:p>
    <w:p>
      <w:pPr>
        <w:spacing w:before="60" w:after="60" w:line="276" w:lineRule="auto"/>
        <w:ind w:left="504"/>
      </w:pPr>
      <w:r>
        <w:rPr>
          <w:rFonts w:ascii="Calibri" w:hAnsi="Calibri"/>
          <w:sz w:val="22"/>
        </w:rPr>
        <w:t>E. Theoretical Alignment</w:t>
      </w:r>
    </w:p>
    <w:p>
      <w:pPr>
        <w:spacing w:before="60" w:after="60" w:line="276" w:lineRule="auto"/>
        <w:ind w:left="1008"/>
      </w:pPr>
      <w:r>
        <w:rPr>
          <w:rFonts w:ascii="Calibri" w:hAnsi="Calibri"/>
          <w:sz w:val="22"/>
        </w:rPr>
        <w:t>1. Parallel findings in Denis Pardee’s work on Ugaritic and Hebrew poetic parallelism (1988)</w:t>
      </w:r>
    </w:p>
    <w:p>
      <w:pPr>
        <w:spacing w:before="160" w:after="60" w:line="276" w:lineRule="auto"/>
        <w:ind w:left="0"/>
      </w:pPr>
      <w:r>
        <w:rPr>
          <w:rFonts w:ascii="Calibri" w:hAnsi="Calibri"/>
          <w:b/>
          <w:color w:val="1B365D"/>
          <w:sz w:val="22"/>
        </w:rPr>
        <w:t>IV. Poetic Dynamics: Repetition, Variation, and Imprecise Parallelism</w:t>
      </w:r>
    </w:p>
    <w:p>
      <w:pPr>
        <w:spacing w:before="60" w:after="60" w:line="276" w:lineRule="auto"/>
        <w:ind w:left="504"/>
      </w:pPr>
      <w:r>
        <w:rPr>
          <w:rFonts w:ascii="Calibri" w:hAnsi="Calibri"/>
          <w:sz w:val="22"/>
        </w:rPr>
        <w:t>A. The Nature of Hebrew Poetic Essence</w:t>
      </w:r>
    </w:p>
    <w:p>
      <w:pPr>
        <w:spacing w:before="60" w:after="60" w:line="276" w:lineRule="auto"/>
        <w:ind w:left="1008"/>
      </w:pPr>
      <w:r>
        <w:rPr>
          <w:rFonts w:ascii="Calibri" w:hAnsi="Calibri"/>
          <w:sz w:val="22"/>
        </w:rPr>
        <w:t>1. Creative combination of repetition and variation as the core of Hebrew poetry (extending John Goldingay)</w:t>
      </w:r>
    </w:p>
    <w:p>
      <w:pPr>
        <w:spacing w:before="60" w:after="60" w:line="276" w:lineRule="auto"/>
        <w:ind w:left="1008"/>
      </w:pPr>
      <w:r>
        <w:rPr>
          <w:rFonts w:ascii="Calibri" w:hAnsi="Calibri"/>
          <w:sz w:val="22"/>
        </w:rPr>
        <w:t>2. Proverbial statements as sophisticated texts requiring diligent exegesis</w:t>
      </w:r>
    </w:p>
    <w:p>
      <w:pPr>
        <w:spacing w:before="60" w:after="60" w:line="276" w:lineRule="auto"/>
        <w:ind w:left="504"/>
      </w:pPr>
      <w:r>
        <w:rPr>
          <w:rFonts w:ascii="Calibri" w:hAnsi="Calibri"/>
          <w:sz w:val="22"/>
        </w:rPr>
        <w:t>B. The Role of Difference and Imprecise Parallelism</w:t>
      </w:r>
    </w:p>
    <w:p>
      <w:pPr>
        <w:spacing w:before="60" w:after="60" w:line="276" w:lineRule="auto"/>
        <w:ind w:left="1008"/>
      </w:pPr>
      <w:r>
        <w:rPr>
          <w:rFonts w:ascii="Calibri" w:hAnsi="Calibri"/>
          <w:sz w:val="22"/>
        </w:rPr>
        <w:t>1. Rejection of strict synonymy as the sole measure of poetic quality</w:t>
      </w:r>
    </w:p>
    <w:p>
      <w:pPr>
        <w:spacing w:before="60" w:after="60" w:line="276" w:lineRule="auto"/>
        <w:ind w:left="1008"/>
      </w:pPr>
      <w:r>
        <w:rPr>
          <w:rFonts w:ascii="Calibri" w:hAnsi="Calibri"/>
          <w:sz w:val="22"/>
        </w:rPr>
        <w:t>2. Imprecise parallelism as evidence of poetic skill, expanding perspective and generating new nuances</w:t>
      </w:r>
    </w:p>
    <w:p>
      <w:pPr>
        <w:spacing w:before="60" w:after="60" w:line="276" w:lineRule="auto"/>
        <w:ind w:left="1008"/>
      </w:pPr>
      <w:r>
        <w:rPr>
          <w:rFonts w:ascii="Calibri" w:hAnsi="Calibri"/>
          <w:sz w:val="22"/>
        </w:rPr>
        <w:t>3. Function of general balance, similes, and metaphors in stimulating mental engagement</w:t>
      </w:r>
    </w:p>
    <w:p>
      <w:pPr>
        <w:spacing w:before="60" w:after="60" w:line="276" w:lineRule="auto"/>
        <w:ind w:left="504"/>
      </w:pPr>
      <w:r>
        <w:rPr>
          <w:rFonts w:ascii="Calibri" w:hAnsi="Calibri"/>
          <w:sz w:val="22"/>
        </w:rPr>
        <w:t>C. Poetic Techniques: Ellipsis, Concision, and Ambiguity</w:t>
      </w:r>
    </w:p>
    <w:p>
      <w:pPr>
        <w:spacing w:before="60" w:after="60" w:line="276" w:lineRule="auto"/>
        <w:ind w:left="1008"/>
      </w:pPr>
      <w:r>
        <w:rPr>
          <w:rFonts w:ascii="Calibri" w:hAnsi="Calibri"/>
          <w:sz w:val="22"/>
        </w:rPr>
        <w:t>1. Ellipsis as space-creating device for introducing new information within equal line lengths</w:t>
      </w:r>
    </w:p>
    <w:p>
      <w:pPr>
        <w:spacing w:before="60" w:after="60" w:line="276" w:lineRule="auto"/>
        <w:ind w:left="1008"/>
      </w:pPr>
      <w:r>
        <w:rPr>
          <w:rFonts w:ascii="Calibri" w:hAnsi="Calibri"/>
          <w:sz w:val="22"/>
        </w:rPr>
        <w:t>2. Ellipsis as wordplay, generating ambiguity and surplus of meaning</w:t>
      </w:r>
    </w:p>
    <w:p>
      <w:pPr>
        <w:spacing w:before="60" w:after="60" w:line="276" w:lineRule="auto"/>
        <w:ind w:left="1008"/>
      </w:pPr>
      <w:r>
        <w:rPr>
          <w:rFonts w:ascii="Calibri" w:hAnsi="Calibri"/>
          <w:sz w:val="22"/>
        </w:rPr>
        <w:t>3. Concision and brevity as tools to invite active, imaginative reader interpretation</w:t>
      </w:r>
    </w:p>
    <w:p>
      <w:pPr>
        <w:spacing w:before="160" w:after="60" w:line="276" w:lineRule="auto"/>
        <w:ind w:left="0"/>
      </w:pPr>
      <w:r>
        <w:rPr>
          <w:rFonts w:ascii="Calibri" w:hAnsi="Calibri"/>
          <w:b/>
          <w:color w:val="1B365D"/>
          <w:sz w:val="22"/>
        </w:rPr>
        <w:t>V. Exegetical Fallacies and Interpretive Virtues</w:t>
      </w:r>
    </w:p>
    <w:p>
      <w:pPr>
        <w:spacing w:before="60" w:after="60" w:line="276" w:lineRule="auto"/>
        <w:ind w:left="504"/>
      </w:pPr>
      <w:r>
        <w:rPr>
          <w:rFonts w:ascii="Calibri" w:hAnsi="Calibri"/>
          <w:sz w:val="22"/>
        </w:rPr>
        <w:t>A. Prominent Exegetical Fallacies</w:t>
      </w:r>
    </w:p>
    <w:p>
      <w:pPr>
        <w:spacing w:before="60" w:after="60" w:line="276" w:lineRule="auto"/>
        <w:ind w:left="1008"/>
      </w:pPr>
      <w:r>
        <w:rPr>
          <w:rFonts w:ascii="Calibri" w:hAnsi="Calibri"/>
          <w:sz w:val="22"/>
        </w:rPr>
        <w:t>1. Assimilating ambiguous verses to remove subtleties and force single interpretations</w:t>
      </w:r>
    </w:p>
    <w:p>
      <w:pPr>
        <w:spacing w:before="60" w:after="60" w:line="276" w:lineRule="auto"/>
        <w:ind w:left="1008"/>
      </w:pPr>
      <w:r>
        <w:rPr>
          <w:rFonts w:ascii="Calibri" w:hAnsi="Calibri"/>
          <w:sz w:val="22"/>
        </w:rPr>
        <w:t>2. Reconstructing lexicography and emending texts based on idealized parallelism</w:t>
      </w:r>
    </w:p>
    <w:p>
      <w:pPr>
        <w:spacing w:before="60" w:after="60" w:line="276" w:lineRule="auto"/>
        <w:ind w:left="1008"/>
      </w:pPr>
      <w:r>
        <w:rPr>
          <w:rFonts w:ascii="Calibri" w:hAnsi="Calibri"/>
          <w:sz w:val="22"/>
        </w:rPr>
        <w:t>3. Textual emendation under the assumption of "better parallelism"</w:t>
      </w:r>
    </w:p>
    <w:p>
      <w:pPr>
        <w:spacing w:before="60" w:after="60" w:line="276" w:lineRule="auto"/>
        <w:ind w:left="504"/>
      </w:pPr>
      <w:r>
        <w:rPr>
          <w:rFonts w:ascii="Calibri" w:hAnsi="Calibri"/>
          <w:sz w:val="22"/>
        </w:rPr>
        <w:t>B. Analytical Techniques and Heuristic Norms</w:t>
      </w:r>
    </w:p>
    <w:p>
      <w:pPr>
        <w:spacing w:before="60" w:after="60" w:line="276" w:lineRule="auto"/>
        <w:ind w:left="1008"/>
      </w:pPr>
      <w:r>
        <w:rPr>
          <w:rFonts w:ascii="Calibri" w:hAnsi="Calibri"/>
          <w:sz w:val="22"/>
        </w:rPr>
        <w:t>1. Applying heuristic assumptions of line length with flexibility</w:t>
      </w:r>
    </w:p>
    <w:p>
      <w:pPr>
        <w:spacing w:before="60" w:after="60" w:line="276" w:lineRule="auto"/>
        <w:ind w:left="1008"/>
      </w:pPr>
      <w:r>
        <w:rPr>
          <w:rFonts w:ascii="Calibri" w:hAnsi="Calibri"/>
          <w:sz w:val="22"/>
        </w:rPr>
        <w:t>2. Investigating deviations from putative norms ("embracing the truly unusual")</w:t>
      </w:r>
    </w:p>
    <w:p>
      <w:pPr>
        <w:spacing w:before="60" w:after="60" w:line="276" w:lineRule="auto"/>
        <w:ind w:left="504"/>
      </w:pPr>
      <w:r>
        <w:rPr>
          <w:rFonts w:ascii="Calibri" w:hAnsi="Calibri"/>
          <w:sz w:val="22"/>
        </w:rPr>
        <w:t>C. Essential Interpretive Virtues</w:t>
      </w:r>
    </w:p>
    <w:p>
      <w:pPr>
        <w:spacing w:before="60" w:after="60" w:line="276" w:lineRule="auto"/>
        <w:ind w:left="1008"/>
      </w:pPr>
      <w:r>
        <w:rPr>
          <w:rFonts w:ascii="Calibri" w:hAnsi="Calibri"/>
          <w:sz w:val="22"/>
        </w:rPr>
        <w:t>1. Diligence to discover poetic subtleties</w:t>
      </w:r>
    </w:p>
    <w:p>
      <w:pPr>
        <w:spacing w:before="60" w:after="60" w:line="276" w:lineRule="auto"/>
        <w:ind w:left="1008"/>
      </w:pPr>
      <w:r>
        <w:rPr>
          <w:rFonts w:ascii="Calibri" w:hAnsi="Calibri"/>
          <w:sz w:val="22"/>
        </w:rPr>
        <w:t>2. Imagination to value multiple meanings and multivalence</w:t>
      </w:r>
    </w:p>
    <w:p>
      <w:pPr>
        <w:spacing w:before="60" w:after="60" w:line="276" w:lineRule="auto"/>
        <w:ind w:left="1008"/>
      </w:pPr>
      <w:r>
        <w:rPr>
          <w:rFonts w:ascii="Calibri" w:hAnsi="Calibri"/>
          <w:sz w:val="22"/>
        </w:rPr>
        <w:t>3. Courage to live with unresolved text questions</w:t>
      </w:r>
    </w:p>
    <w:p>
      <w:pPr>
        <w:spacing w:before="60" w:after="60" w:line="276" w:lineRule="auto"/>
        <w:ind w:left="1008"/>
      </w:pPr>
      <w:r>
        <w:rPr>
          <w:rFonts w:ascii="Calibri" w:hAnsi="Calibri"/>
          <w:sz w:val="22"/>
        </w:rPr>
        <w:t>4. Wisdom to apply proverbial instruction to modern contexts</w:t>
      </w:r>
    </w:p>
    <w:p>
      <w:pPr>
        <w:spacing w:before="160" w:after="60" w:line="276" w:lineRule="auto"/>
        <w:ind w:left="0"/>
      </w:pPr>
      <w:r>
        <w:rPr>
          <w:rFonts w:ascii="Calibri" w:hAnsi="Calibri"/>
          <w:b/>
          <w:color w:val="1B365D"/>
          <w:sz w:val="22"/>
        </w:rPr>
        <w:t>VI. Structural Architecture and Editorial Design of Proverbs 1–9</w:t>
      </w:r>
    </w:p>
    <w:p>
      <w:pPr>
        <w:spacing w:before="60" w:after="60" w:line="276" w:lineRule="auto"/>
        <w:ind w:left="504"/>
      </w:pPr>
      <w:r>
        <w:rPr>
          <w:rFonts w:ascii="Calibri" w:hAnsi="Calibri"/>
          <w:sz w:val="22"/>
        </w:rPr>
        <w:t>A. Occurrence of Variant Repetitions</w:t>
      </w:r>
    </w:p>
    <w:p>
      <w:pPr>
        <w:spacing w:before="60" w:after="60" w:line="276" w:lineRule="auto"/>
        <w:ind w:left="1008"/>
      </w:pPr>
      <w:r>
        <w:rPr>
          <w:rFonts w:ascii="Calibri" w:hAnsi="Calibri"/>
          <w:sz w:val="22"/>
        </w:rPr>
        <w:t>1. Statistics: 223 verses repeat in Proverbs (46 verses / 18% in Proverbs 1–9)</w:t>
      </w:r>
    </w:p>
    <w:p>
      <w:pPr>
        <w:spacing w:before="60" w:after="60" w:line="276" w:lineRule="auto"/>
        <w:ind w:left="1008"/>
      </w:pPr>
      <w:r>
        <w:rPr>
          <w:rFonts w:ascii="Calibri" w:hAnsi="Calibri"/>
          <w:sz w:val="22"/>
        </w:rPr>
        <w:t>2. Distribution: 48.1% of variant repetitions in Proverbs 1–9 occur within lecture introductions</w:t>
      </w:r>
    </w:p>
    <w:p>
      <w:pPr>
        <w:spacing w:before="60" w:after="60" w:line="276" w:lineRule="auto"/>
        <w:ind w:left="504"/>
      </w:pPr>
      <w:r>
        <w:rPr>
          <w:rFonts w:ascii="Calibri" w:hAnsi="Calibri"/>
          <w:sz w:val="22"/>
        </w:rPr>
        <w:t>B. Structure of the Ten Lectures/Instructions</w:t>
      </w:r>
    </w:p>
    <w:p>
      <w:pPr>
        <w:spacing w:before="60" w:after="60" w:line="276" w:lineRule="auto"/>
        <w:ind w:left="1008"/>
      </w:pPr>
      <w:r>
        <w:rPr>
          <w:rFonts w:ascii="Calibri" w:hAnsi="Calibri"/>
          <w:sz w:val="22"/>
        </w:rPr>
        <w:t>1. Framework of Michael Fox and Otto Plöger (analogous to Greek rhetoric):</w:t>
      </w:r>
    </w:p>
    <w:p>
      <w:pPr>
        <w:spacing w:before="60" w:after="60" w:line="276" w:lineRule="auto"/>
        <w:ind w:left="1512"/>
      </w:pPr>
      <w:r>
        <w:rPr>
          <w:rFonts w:ascii="Calibri" w:hAnsi="Calibri"/>
          <w:sz w:val="22"/>
        </w:rPr>
        <w:t>a. Exordium (address, exhortation, motivation)</w:t>
      </w:r>
    </w:p>
    <w:p>
      <w:pPr>
        <w:spacing w:before="60" w:after="60" w:line="276" w:lineRule="auto"/>
        <w:ind w:left="1512"/>
      </w:pPr>
      <w:r>
        <w:rPr>
          <w:rFonts w:ascii="Calibri" w:hAnsi="Calibri"/>
          <w:sz w:val="22"/>
        </w:rPr>
        <w:t>b. Lesson (main theme presentation)</w:t>
      </w:r>
    </w:p>
    <w:p>
      <w:pPr>
        <w:spacing w:before="60" w:after="60" w:line="276" w:lineRule="auto"/>
        <w:ind w:left="1512"/>
      </w:pPr>
      <w:r>
        <w:rPr>
          <w:rFonts w:ascii="Calibri" w:hAnsi="Calibri"/>
          <w:sz w:val="22"/>
        </w:rPr>
        <w:t>c. Conclusion (summary statement / capstone proverb)</w:t>
      </w:r>
    </w:p>
    <w:p>
      <w:pPr>
        <w:spacing w:before="60" w:after="60" w:line="276" w:lineRule="auto"/>
        <w:ind w:left="1008"/>
      </w:pPr>
      <w:r>
        <w:rPr>
          <w:rFonts w:ascii="Calibri" w:hAnsi="Calibri"/>
          <w:sz w:val="22"/>
        </w:rPr>
        <w:t>2. Bruce Waltke’s structural alignment on instruction units</w:t>
      </w:r>
    </w:p>
    <w:p>
      <w:pPr>
        <w:spacing w:before="60" w:after="60" w:line="276" w:lineRule="auto"/>
        <w:ind w:left="504"/>
      </w:pPr>
      <w:r>
        <w:rPr>
          <w:rFonts w:ascii="Calibri" w:hAnsi="Calibri"/>
          <w:sz w:val="22"/>
        </w:rPr>
        <w:t>C. Editorial Conclusion</w:t>
      </w:r>
    </w:p>
    <w:p>
      <w:pPr>
        <w:spacing w:before="60" w:after="60" w:line="276" w:lineRule="auto"/>
        <w:ind w:left="1008"/>
      </w:pPr>
      <w:r>
        <w:rPr>
          <w:rFonts w:ascii="Calibri" w:hAnsi="Calibri"/>
          <w:sz w:val="22"/>
        </w:rPr>
        <w:t>1. Strategic placement of repeated introductory formulas indicates purposeful editorial composition</w:t>
      </w:r>
    </w:p>
    <w:p>
      <w:pPr>
        <w:spacing w:before="60" w:after="60" w:line="276" w:lineRule="auto"/>
        <w:ind w:left="1008"/>
      </w:pPr>
      <w:r>
        <w:rPr>
          <w:rFonts w:ascii="Calibri" w:hAnsi="Calibri"/>
          <w:sz w:val="22"/>
        </w:rPr>
        <w:t>2. Lectures composed to be read, heard, and taught together as a unified whole</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fldSimple w:instr="PAGE"/>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