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9CAED" w14:textId="47159A25" w:rsidR="00017D6F" w:rsidRDefault="00000000" w:rsidP="00A84A57">
      <w:pPr>
        <w:spacing w:after="80"/>
        <w:jc w:val="center"/>
      </w:pPr>
      <w:r>
        <w:rPr>
          <w:rFonts w:ascii="Calibri" w:hAnsi="Calibri"/>
          <w:b/>
          <w:color w:val="1F4E79"/>
          <w:sz w:val="40"/>
        </w:rPr>
        <w:t>Exodus Psalms — Psalm 136, Antiphonal Liturgy</w:t>
      </w:r>
    </w:p>
    <w:p w14:paraId="48FAB632" w14:textId="7AE8077A" w:rsidR="00017D6F" w:rsidRDefault="00000000" w:rsidP="00A84A57">
      <w:pPr>
        <w:spacing w:after="360"/>
        <w:jc w:val="center"/>
      </w:pPr>
      <w:r>
        <w:rPr>
          <w:b/>
        </w:rPr>
        <w:t xml:space="preserve">Author: </w:t>
      </w:r>
      <w:r>
        <w:t xml:space="preserve">Dr. David </w:t>
      </w:r>
      <w:proofErr w:type="gramStart"/>
      <w:r>
        <w:t>Emanuel  |</w:t>
      </w:r>
      <w:proofErr w:type="gramEnd"/>
      <w:r>
        <w:t xml:space="preserve">  </w:t>
      </w:r>
      <w:r>
        <w:rPr>
          <w:b/>
        </w:rPr>
        <w:t>Session</w:t>
      </w:r>
      <w:r>
        <w:t xml:space="preserve"> 1</w:t>
      </w:r>
      <w:r>
        <w:br/>
      </w:r>
      <w:r>
        <w:rPr>
          <w:i/>
          <w:color w:val="505050"/>
        </w:rPr>
        <w:t>Sponsored by Biblicalelearning.org by Ted Hildebrandt</w:t>
      </w:r>
    </w:p>
    <w:p w14:paraId="552C7CAC" w14:textId="77777777" w:rsidR="00017D6F" w:rsidRDefault="00000000">
      <w:pPr>
        <w:keepNext/>
        <w:spacing w:before="280" w:after="120"/>
      </w:pPr>
      <w:r>
        <w:rPr>
          <w:rFonts w:ascii="Calibri" w:hAnsi="Calibri"/>
          <w:b/>
          <w:color w:val="1F4E79"/>
          <w:sz w:val="28"/>
        </w:rPr>
        <w:t>Keywords</w:t>
      </w:r>
    </w:p>
    <w:p w14:paraId="26B7AA87" w14:textId="77777777" w:rsidR="00017D6F" w:rsidRDefault="00000000">
      <w:pPr>
        <w:spacing w:after="240"/>
      </w:pPr>
      <w:r>
        <w:rPr>
          <w:rFonts w:ascii="Calibri" w:hAnsi="Calibri"/>
        </w:rPr>
        <w:t>Psalm 136, Exodus motif, David Emanuel, antiphonal liturgy, divine warrior, hesed, creation, Transjordanian kings, Torah, textual reuse</w:t>
      </w:r>
    </w:p>
    <w:p w14:paraId="6F15C0ED" w14:textId="77777777" w:rsidR="00017D6F" w:rsidRDefault="00000000">
      <w:pPr>
        <w:keepNext/>
        <w:spacing w:before="280" w:after="120"/>
      </w:pPr>
      <w:r>
        <w:rPr>
          <w:rFonts w:ascii="Calibri" w:hAnsi="Calibri"/>
          <w:b/>
          <w:color w:val="1F4E79"/>
          <w:sz w:val="28"/>
        </w:rPr>
        <w:t>Abstract</w:t>
      </w:r>
    </w:p>
    <w:p w14:paraId="309733AB" w14:textId="77777777" w:rsidR="00017D6F" w:rsidRDefault="00000000">
      <w:pPr>
        <w:spacing w:after="320"/>
      </w:pPr>
      <w:r>
        <w:rPr>
          <w:rFonts w:ascii="Calibri" w:hAnsi="Calibri"/>
        </w:rPr>
        <w:t>In this introductory lecture on the Exodus Psalms, Dr. David Emanuel examines the centrality of the Exodus motif across biblical literature and outlines a six-part methodological framework for studying its presence in the Psalter. Selecting Psalm 136 as a foundational case study, Emanuel analyzes its antiphonal liturgical structure and its recurring refrain emphasizing God's everlasting covenant love (hesed). He demonstrates how the psalm portrays God as a divine warrior king who acts decisively on behalf of a completely passive Israel, weaving together motifs of creation, plague judgments, and the conquest of Transjordanian rulers. Ultimately, Emanuel illustrates how biblical psalmists creatively adapted historical traditions and text-reuse mechanisms to serve distinct theological and liturgical purposes.</w:t>
      </w:r>
    </w:p>
    <w:p w14:paraId="33A5EC6E" w14:textId="77777777" w:rsidR="00017D6F" w:rsidRDefault="00000000">
      <w:pPr>
        <w:keepNext/>
        <w:spacing w:before="280" w:after="120"/>
      </w:pPr>
      <w:r>
        <w:rPr>
          <w:rFonts w:ascii="Calibri" w:hAnsi="Calibri"/>
          <w:b/>
          <w:color w:val="1F4E79"/>
          <w:sz w:val="28"/>
        </w:rPr>
        <w:t>Outline</w:t>
      </w:r>
    </w:p>
    <w:p w14:paraId="7F6C1279" w14:textId="77777777" w:rsidR="00017D6F" w:rsidRDefault="00000000">
      <w:pPr>
        <w:keepNext/>
        <w:spacing w:before="160" w:after="40"/>
      </w:pPr>
      <w:r>
        <w:rPr>
          <w:rFonts w:ascii="Calibri" w:hAnsi="Calibri"/>
          <w:b/>
          <w:color w:val="1F4E79"/>
          <w:sz w:val="24"/>
        </w:rPr>
        <w:t>I. Introduction and Speaker Background</w:t>
      </w:r>
    </w:p>
    <w:p w14:paraId="700D95FA" w14:textId="77777777" w:rsidR="00017D6F" w:rsidRDefault="00000000">
      <w:pPr>
        <w:spacing w:before="60" w:after="40"/>
        <w:ind w:left="360"/>
      </w:pPr>
      <w:r>
        <w:rPr>
          <w:rFonts w:ascii="Calibri" w:hAnsi="Calibri"/>
        </w:rPr>
        <w:t>A. Academic Background and Journey</w:t>
      </w:r>
    </w:p>
    <w:p w14:paraId="543F98EC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1. Former computer scientist who transitioned to biblical scholarship.</w:t>
      </w:r>
    </w:p>
    <w:p w14:paraId="26DA6E60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2. Completed eleven years of study at the Hebrew University of Jerusalem focusing on the Hebrew Bible, ancient Near East, and Hebrew poetry.</w:t>
      </w:r>
    </w:p>
    <w:p w14:paraId="24C92E25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3. Faculty member at Nyack College and Alliance Theological Seminary.</w:t>
      </w:r>
    </w:p>
    <w:p w14:paraId="54FC100A" w14:textId="77777777" w:rsidR="00017D6F" w:rsidRDefault="00000000">
      <w:pPr>
        <w:spacing w:before="60" w:after="40"/>
        <w:ind w:left="360"/>
      </w:pPr>
      <w:r>
        <w:rPr>
          <w:rFonts w:ascii="Calibri" w:hAnsi="Calibri"/>
        </w:rPr>
        <w:t>B. Context and Scope of the Lecture Series</w:t>
      </w:r>
    </w:p>
    <w:p w14:paraId="65003E3A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1. Exploration of the Exodus motif in the Psalter.</w:t>
      </w:r>
    </w:p>
    <w:p w14:paraId="556014CE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2. Focus on five selected primary Psalms: Psalms 78, 105, 106, 135, and 136 (with Psalm 136 serving as the starting case study).</w:t>
      </w:r>
    </w:p>
    <w:p w14:paraId="620B0597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3. Acknowledgment of minor Exodus references in other psalms (e.g., Psalms 23, 66, 77, 95, 114) that fall outside the primary lecture scope.</w:t>
      </w:r>
    </w:p>
    <w:p w14:paraId="5BE25B21" w14:textId="77777777" w:rsidR="00017D6F" w:rsidRDefault="00000000">
      <w:pPr>
        <w:keepNext/>
        <w:spacing w:before="160" w:after="40"/>
      </w:pPr>
      <w:r>
        <w:rPr>
          <w:rFonts w:ascii="Calibri" w:hAnsi="Calibri"/>
          <w:b/>
          <w:color w:val="1F4E79"/>
          <w:sz w:val="24"/>
        </w:rPr>
        <w:t>II. The Primacy of the Exodus Motif in Biblical Literature</w:t>
      </w:r>
    </w:p>
    <w:p w14:paraId="15CEE2B3" w14:textId="77777777" w:rsidR="00017D6F" w:rsidRDefault="00000000">
      <w:pPr>
        <w:spacing w:before="60" w:after="40"/>
        <w:ind w:left="360"/>
      </w:pPr>
      <w:r>
        <w:rPr>
          <w:rFonts w:ascii="Calibri" w:hAnsi="Calibri"/>
        </w:rPr>
        <w:t>A. Extent and Dominance Across Scripture</w:t>
      </w:r>
    </w:p>
    <w:p w14:paraId="3CDB9B1C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1. Spans from Genesis through Revelation as the most influential tradition in the Bible.</w:t>
      </w:r>
    </w:p>
    <w:p w14:paraId="4FDA4FD9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lastRenderedPageBreak/>
        <w:t>2. Academic thesis advisor's correction: the Exodus motif is the most dominant motif, not merely 'one of' the most dominant.</w:t>
      </w:r>
    </w:p>
    <w:p w14:paraId="05360709" w14:textId="77777777" w:rsidR="00017D6F" w:rsidRDefault="00000000">
      <w:pPr>
        <w:spacing w:before="60" w:after="40"/>
        <w:ind w:left="360"/>
      </w:pPr>
      <w:r>
        <w:rPr>
          <w:rFonts w:ascii="Calibri" w:hAnsi="Calibri"/>
        </w:rPr>
        <w:t>B. Genre and Literary Characteristics</w:t>
      </w:r>
    </w:p>
    <w:p w14:paraId="04B89786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1. Cross-genre tradition: affects multiple Psalm genres (laments, praise, thanksgiving) rather than being restricted to a single form.</w:t>
      </w:r>
    </w:p>
    <w:p w14:paraId="3899AC73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2. Echoes in non-Exodus contexts (e.g., Psalm 23's shepherd imagery mirroring wilderness guidance and land settlement).</w:t>
      </w:r>
    </w:p>
    <w:p w14:paraId="7A79772A" w14:textId="77777777" w:rsidR="00017D6F" w:rsidRDefault="00000000">
      <w:pPr>
        <w:keepNext/>
        <w:spacing w:before="160" w:after="40"/>
      </w:pPr>
      <w:r>
        <w:rPr>
          <w:rFonts w:ascii="Calibri" w:hAnsi="Calibri"/>
          <w:b/>
          <w:color w:val="1F4E79"/>
          <w:sz w:val="24"/>
        </w:rPr>
        <w:t>III. Methodological Framework for Analyzing Exodus Psalms</w:t>
      </w:r>
    </w:p>
    <w:p w14:paraId="20DD79B9" w14:textId="77777777" w:rsidR="00017D6F" w:rsidRDefault="00000000">
      <w:pPr>
        <w:spacing w:before="60" w:after="40"/>
        <w:ind w:left="360"/>
      </w:pPr>
      <w:r>
        <w:rPr>
          <w:rFonts w:ascii="Calibri" w:hAnsi="Calibri"/>
        </w:rPr>
        <w:t>A. Structural Analysis and Content Roadmap</w:t>
      </w:r>
    </w:p>
    <w:p w14:paraId="6B938499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1. Outlining each psalm to establish a structural overview and content roadmap.</w:t>
      </w:r>
    </w:p>
    <w:p w14:paraId="1552CBFC" w14:textId="77777777" w:rsidR="00017D6F" w:rsidRDefault="00000000">
      <w:pPr>
        <w:spacing w:before="60" w:after="40"/>
        <w:ind w:left="360"/>
      </w:pPr>
      <w:r>
        <w:rPr>
          <w:rFonts w:ascii="Calibri" w:hAnsi="Calibri"/>
        </w:rPr>
        <w:t>B. Determination of Purpose</w:t>
      </w:r>
    </w:p>
    <w:p w14:paraId="24683354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1. Identifying why the psalm was written to understand why specific historical elements were selected or neglected.</w:t>
      </w:r>
    </w:p>
    <w:p w14:paraId="4C85DA82" w14:textId="77777777" w:rsidR="00017D6F" w:rsidRDefault="00000000">
      <w:pPr>
        <w:spacing w:before="60" w:after="40"/>
        <w:ind w:left="360"/>
      </w:pPr>
      <w:r>
        <w:rPr>
          <w:rFonts w:ascii="Calibri" w:hAnsi="Calibri"/>
        </w:rPr>
        <w:t>C. Intertextual Connections</w:t>
      </w:r>
    </w:p>
    <w:p w14:paraId="461C8185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1. Mapping linguistic and thematic links to Pentateuchal narratives (Exodus and Numbers).</w:t>
      </w:r>
    </w:p>
    <w:p w14:paraId="4EA1B26B" w14:textId="77777777" w:rsidR="00017D6F" w:rsidRDefault="00000000">
      <w:pPr>
        <w:spacing w:before="60" w:after="40"/>
        <w:ind w:left="360"/>
      </w:pPr>
      <w:r>
        <w:rPr>
          <w:rFonts w:ascii="Calibri" w:hAnsi="Calibri"/>
        </w:rPr>
        <w:t>D. Analysis of Notable Omissions</w:t>
      </w:r>
    </w:p>
    <w:p w14:paraId="2C468A50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1. Examining why major biblical narrative events were intentionally excluded based on the psalmist's purpose.</w:t>
      </w:r>
    </w:p>
    <w:p w14:paraId="2934F7EE" w14:textId="77777777" w:rsidR="00017D6F" w:rsidRDefault="00000000">
      <w:pPr>
        <w:spacing w:before="60" w:after="40"/>
        <w:ind w:left="360"/>
      </w:pPr>
      <w:r>
        <w:rPr>
          <w:rFonts w:ascii="Calibri" w:hAnsi="Calibri"/>
        </w:rPr>
        <w:t>E. Hebrew Poetics and Style</w:t>
      </w:r>
    </w:p>
    <w:p w14:paraId="70182945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1. Re-evaluating narrative and historical psalms against criticisms of being 'less poetic.'</w:t>
      </w:r>
    </w:p>
    <w:p w14:paraId="69F424AA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2. Examining emphatic structures, wordplay, and poetic devices.</w:t>
      </w:r>
    </w:p>
    <w:p w14:paraId="562F7D7A" w14:textId="77777777" w:rsidR="00017D6F" w:rsidRDefault="00000000">
      <w:pPr>
        <w:spacing w:before="60" w:after="40"/>
        <w:ind w:left="360"/>
      </w:pPr>
      <w:r>
        <w:rPr>
          <w:rFonts w:ascii="Calibri" w:hAnsi="Calibri"/>
        </w:rPr>
        <w:t>F. Biblical Interpretation and Textual Reuse</w:t>
      </w:r>
    </w:p>
    <w:p w14:paraId="76ED847D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1. Investigating how psalmists adapted older traditions, source materials, or pre-existing liturgical units.</w:t>
      </w:r>
    </w:p>
    <w:p w14:paraId="1100A114" w14:textId="77777777" w:rsidR="00017D6F" w:rsidRDefault="00000000">
      <w:pPr>
        <w:keepNext/>
        <w:spacing w:before="160" w:after="40"/>
      </w:pPr>
      <w:r>
        <w:rPr>
          <w:rFonts w:ascii="Calibri" w:hAnsi="Calibri"/>
          <w:b/>
          <w:color w:val="1F4E79"/>
          <w:sz w:val="24"/>
        </w:rPr>
        <w:t>IV. Components of the Biblical Exodus Motif</w:t>
      </w:r>
    </w:p>
    <w:p w14:paraId="603044DF" w14:textId="77777777" w:rsidR="00017D6F" w:rsidRDefault="00000000">
      <w:pPr>
        <w:spacing w:before="60" w:after="40"/>
        <w:ind w:left="360"/>
      </w:pPr>
      <w:r>
        <w:rPr>
          <w:rFonts w:ascii="Calibri" w:hAnsi="Calibri"/>
        </w:rPr>
        <w:t>A. Progression from Clan to Nation</w:t>
      </w:r>
    </w:p>
    <w:p w14:paraId="36CEF93A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1. Descent of Jacob's extended family (70 souls) to Egypt to escape famine.</w:t>
      </w:r>
    </w:p>
    <w:p w14:paraId="3D3BF439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2. Multiplication, subsequent enslavement under a new Pharaoh, and oppression.</w:t>
      </w:r>
    </w:p>
    <w:p w14:paraId="4014F37E" w14:textId="77777777" w:rsidR="00017D6F" w:rsidRDefault="00000000">
      <w:pPr>
        <w:spacing w:before="60" w:after="40"/>
        <w:ind w:left="360"/>
      </w:pPr>
      <w:r>
        <w:rPr>
          <w:rFonts w:ascii="Calibri" w:hAnsi="Calibri"/>
        </w:rPr>
        <w:t>B. Divine Deliverance and Miracles</w:t>
      </w:r>
    </w:p>
    <w:p w14:paraId="7ECDF8DE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1. The ten plagues in Egypt culminating in the death of the firstborn.</w:t>
      </w:r>
    </w:p>
    <w:p w14:paraId="3ED16385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2. The miraculous crossing of the sea amidst Israelite panic and rebellion.</w:t>
      </w:r>
    </w:p>
    <w:p w14:paraId="01E3BD5C" w14:textId="77777777" w:rsidR="00017D6F" w:rsidRDefault="00000000">
      <w:pPr>
        <w:spacing w:before="60" w:after="40"/>
        <w:ind w:left="360"/>
      </w:pPr>
      <w:r>
        <w:rPr>
          <w:rFonts w:ascii="Calibri" w:hAnsi="Calibri"/>
        </w:rPr>
        <w:t>C. Wilderness Wanderings and Provisions</w:t>
      </w:r>
    </w:p>
    <w:p w14:paraId="18E4364F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1. Provision of water, manna (bread), and quail (meat).</w:t>
      </w:r>
    </w:p>
    <w:p w14:paraId="06043DE9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2. Israelite murmuring, rebellion against leadership, and Moses's intercessory role.</w:t>
      </w:r>
    </w:p>
    <w:p w14:paraId="6BC7C984" w14:textId="77777777" w:rsidR="00017D6F" w:rsidRDefault="00000000">
      <w:pPr>
        <w:spacing w:before="60" w:after="40"/>
        <w:ind w:left="360"/>
      </w:pPr>
      <w:r>
        <w:rPr>
          <w:rFonts w:ascii="Calibri" w:hAnsi="Calibri"/>
        </w:rPr>
        <w:t>D. Sinai Covenant and Lawgiving</w:t>
      </w:r>
    </w:p>
    <w:p w14:paraId="6A8ABDCB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lastRenderedPageBreak/>
        <w:t>1. Ascent of Mount Sinai and the giving of the Torah.</w:t>
      </w:r>
    </w:p>
    <w:p w14:paraId="67A003DD" w14:textId="77777777" w:rsidR="00017D6F" w:rsidRDefault="00000000">
      <w:pPr>
        <w:spacing w:before="60" w:after="40"/>
        <w:ind w:left="360"/>
      </w:pPr>
      <w:r>
        <w:rPr>
          <w:rFonts w:ascii="Calibri" w:hAnsi="Calibri"/>
        </w:rPr>
        <w:t>E. Transjordanian Conquest</w:t>
      </w:r>
    </w:p>
    <w:p w14:paraId="00C11D71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1. Initial military conquest of Amorite territories under Og, king of Bashan, and Sihon, king of the Amorites, prior to crossing the Jordan River.</w:t>
      </w:r>
    </w:p>
    <w:p w14:paraId="0B931799" w14:textId="77777777" w:rsidR="00017D6F" w:rsidRDefault="00000000">
      <w:pPr>
        <w:keepNext/>
        <w:spacing w:before="160" w:after="40"/>
      </w:pPr>
      <w:r>
        <w:rPr>
          <w:rFonts w:ascii="Calibri" w:hAnsi="Calibri"/>
          <w:b/>
          <w:color w:val="1F4E79"/>
          <w:sz w:val="24"/>
        </w:rPr>
        <w:t>V. Detailed Exegesis of Psalm 136</w:t>
      </w:r>
    </w:p>
    <w:p w14:paraId="24FD0E1E" w14:textId="77777777" w:rsidR="00017D6F" w:rsidRDefault="00000000">
      <w:pPr>
        <w:spacing w:before="60" w:after="40"/>
        <w:ind w:left="360"/>
      </w:pPr>
      <w:r>
        <w:rPr>
          <w:rFonts w:ascii="Calibri" w:hAnsi="Calibri"/>
        </w:rPr>
        <w:t>A. Genre and Liturgical Structure</w:t>
      </w:r>
    </w:p>
    <w:p w14:paraId="1B136975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1. Antiphonal liturgical hymn with a repeating congregational refrain: ki le'olam hasdo ('for His covenant love is everlasting').</w:t>
      </w:r>
    </w:p>
    <w:p w14:paraId="52C17373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2. Annual liturgical use during Passover celebrations.</w:t>
      </w:r>
    </w:p>
    <w:p w14:paraId="6276DEFA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3. Textual debate over whether the refrain is organic or a later liturgical insertion (supported by Qumran Psalm 145 evidence).</w:t>
      </w:r>
    </w:p>
    <w:p w14:paraId="0554F70A" w14:textId="77777777" w:rsidR="00017D6F" w:rsidRDefault="00000000">
      <w:pPr>
        <w:spacing w:before="60" w:after="40"/>
        <w:ind w:left="360"/>
      </w:pPr>
      <w:r>
        <w:rPr>
          <w:rFonts w:ascii="Calibri" w:hAnsi="Calibri"/>
        </w:rPr>
        <w:t>B. Key Themes and Theological Portrayal</w:t>
      </w:r>
    </w:p>
    <w:p w14:paraId="2795E26C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1. God portrayed primarily as a divine warrior king fighting on behalf of Israel.</w:t>
      </w:r>
    </w:p>
    <w:p w14:paraId="3C1C0E05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2. Total passivity of Israel: the people display no agency, decisions, or rebellion in this specific psalm.</w:t>
      </w:r>
    </w:p>
    <w:p w14:paraId="1B52A5EB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3. Qualification of hesed: everlasting covenant love directed specifically toward Israel, manifesting as judgment against Egypt.</w:t>
      </w:r>
    </w:p>
    <w:p w14:paraId="4CB3E284" w14:textId="77777777" w:rsidR="00017D6F" w:rsidRDefault="00000000">
      <w:pPr>
        <w:spacing w:before="60" w:after="40"/>
        <w:ind w:left="360"/>
      </w:pPr>
      <w:r>
        <w:rPr>
          <w:rFonts w:ascii="Calibri" w:hAnsi="Calibri"/>
        </w:rPr>
        <w:t>C. Section-by-Section Structural Breakdown</w:t>
      </w:r>
    </w:p>
    <w:p w14:paraId="2C05B9FF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1. Introductory Call to Praise (Verses 1–3):</w:t>
      </w:r>
    </w:p>
    <w:p w14:paraId="72BD2F85" w14:textId="77777777" w:rsidR="00017D6F" w:rsidRDefault="00000000">
      <w:pPr>
        <w:spacing w:before="60" w:after="40"/>
        <w:ind w:left="1080"/>
      </w:pPr>
      <w:r>
        <w:rPr>
          <w:rFonts w:ascii="Calibri" w:hAnsi="Calibri"/>
        </w:rPr>
        <w:t>a. Use of Hodu L'Adonai ('Give thanks to the Lord').</w:t>
      </w:r>
    </w:p>
    <w:p w14:paraId="5ED4F0E2" w14:textId="77777777" w:rsidR="00017D6F" w:rsidRDefault="00000000">
      <w:pPr>
        <w:spacing w:before="60" w:after="40"/>
        <w:ind w:left="1080"/>
      </w:pPr>
      <w:r>
        <w:rPr>
          <w:rFonts w:ascii="Calibri" w:hAnsi="Calibri"/>
        </w:rPr>
        <w:t>b. Affirmation of God as 'God of gods' (Elohei Elohim), drawing an intertextual allusion to Deuteronomy 10:17.</w:t>
      </w:r>
    </w:p>
    <w:p w14:paraId="2A29F9C6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2. God's Work in Creation (Verses 4–9):</w:t>
      </w:r>
    </w:p>
    <w:p w14:paraId="275FFB72" w14:textId="77777777" w:rsidR="00017D6F" w:rsidRDefault="00000000">
      <w:pPr>
        <w:spacing w:before="60" w:after="40"/>
        <w:ind w:left="1080"/>
      </w:pPr>
      <w:r>
        <w:rPr>
          <w:rFonts w:ascii="Calibri" w:hAnsi="Calibri"/>
        </w:rPr>
        <w:t>a. Divine miracles (nifla'ot, gedolot, pele): actions beyond human capacity, reflecting the ancient two-tier cosmology (Creator and created, with no independent 'Mother Nature').</w:t>
      </w:r>
    </w:p>
    <w:p w14:paraId="283E0813" w14:textId="77777777" w:rsidR="00017D6F" w:rsidRDefault="00000000">
      <w:pPr>
        <w:spacing w:before="60" w:after="40"/>
        <w:ind w:left="1080"/>
      </w:pPr>
      <w:r>
        <w:rPr>
          <w:rFonts w:ascii="Calibri" w:hAnsi="Calibri"/>
        </w:rPr>
        <w:t>b. Wisdom influence: creation of heavens with understanding (tevunah).</w:t>
      </w:r>
    </w:p>
    <w:p w14:paraId="6EC89B90" w14:textId="77777777" w:rsidR="00017D6F" w:rsidRDefault="00000000">
      <w:pPr>
        <w:spacing w:before="60" w:after="40"/>
        <w:ind w:left="1080"/>
      </w:pPr>
      <w:r>
        <w:rPr>
          <w:rFonts w:ascii="Calibri" w:hAnsi="Calibri"/>
        </w:rPr>
        <w:t>c. Explicit naming of sun and moon, clarifying the implicit 'greater and lesser lights' of Genesis 1.</w:t>
      </w:r>
    </w:p>
    <w:p w14:paraId="2104DB46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3. God's Work in the Exodus and Deliverance (Verses 10–16):</w:t>
      </w:r>
    </w:p>
    <w:p w14:paraId="525CDEED" w14:textId="77777777" w:rsidR="00017D6F" w:rsidRDefault="00000000">
      <w:pPr>
        <w:spacing w:before="60" w:after="40"/>
        <w:ind w:left="1080"/>
      </w:pPr>
      <w:r>
        <w:rPr>
          <w:rFonts w:ascii="Calibri" w:hAnsi="Calibri"/>
        </w:rPr>
        <w:t>a. Judgment on Egyptian firstborn and abbreviated plague tradition.</w:t>
      </w:r>
    </w:p>
    <w:p w14:paraId="4FE10369" w14:textId="77777777" w:rsidR="00017D6F" w:rsidRDefault="00000000">
      <w:pPr>
        <w:spacing w:before="60" w:after="40"/>
        <w:ind w:left="1080"/>
      </w:pPr>
      <w:r>
        <w:rPr>
          <w:rFonts w:ascii="Calibri" w:hAnsi="Calibri"/>
        </w:rPr>
        <w:t>b. Miraculous sea split (le-gozer gezarim), echoing the covenant ceremony between the pieces in Genesis 15:17.</w:t>
      </w:r>
    </w:p>
    <w:p w14:paraId="064CC0C5" w14:textId="77777777" w:rsidR="00017D6F" w:rsidRDefault="00000000">
      <w:pPr>
        <w:spacing w:before="60" w:after="40"/>
        <w:ind w:left="1080"/>
      </w:pPr>
      <w:r>
        <w:rPr>
          <w:rFonts w:ascii="Calibri" w:hAnsi="Calibri"/>
        </w:rPr>
        <w:t>c. Direct attack and overthrow of Pharaoh and his army.</w:t>
      </w:r>
    </w:p>
    <w:p w14:paraId="498BEF14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4. Conquest of Transjordanian Kings (Verses 17–22):</w:t>
      </w:r>
    </w:p>
    <w:p w14:paraId="185F9DDF" w14:textId="77777777" w:rsidR="00017D6F" w:rsidRDefault="00000000">
      <w:pPr>
        <w:spacing w:before="60" w:after="40"/>
        <w:ind w:left="1080"/>
      </w:pPr>
      <w:r>
        <w:rPr>
          <w:rFonts w:ascii="Calibri" w:hAnsi="Calibri"/>
        </w:rPr>
        <w:t>a. Skipping 40 years of wilderness wandering to highlight the defeat of Sihon and Og.</w:t>
      </w:r>
    </w:p>
    <w:p w14:paraId="2738320E" w14:textId="77777777" w:rsidR="00017D6F" w:rsidRDefault="00000000">
      <w:pPr>
        <w:spacing w:before="60" w:after="40"/>
        <w:ind w:left="1080"/>
      </w:pPr>
      <w:r>
        <w:rPr>
          <w:rFonts w:ascii="Calibri" w:hAnsi="Calibri"/>
        </w:rPr>
        <w:lastRenderedPageBreak/>
        <w:t>b. Stopping at Transjordan indicates the psalmist's primary reliance on the written scope of the Pentateuch/Torah.</w:t>
      </w:r>
    </w:p>
    <w:p w14:paraId="31E505D9" w14:textId="77777777" w:rsidR="00017D6F" w:rsidRDefault="00000000">
      <w:pPr>
        <w:spacing w:before="60" w:after="40"/>
        <w:ind w:left="1080"/>
      </w:pPr>
      <w:r>
        <w:rPr>
          <w:rFonts w:ascii="Calibri" w:hAnsi="Calibri"/>
        </w:rPr>
        <w:t>c. Terraced poetic structure (A-B-B-C) regarding land inheritance, interrupted by the liturgical refrain.</w:t>
      </w:r>
    </w:p>
    <w:p w14:paraId="3A1E299A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5. Conclusion and Summary Praise (Verses 23–26):</w:t>
      </w:r>
    </w:p>
    <w:p w14:paraId="322ED5A2" w14:textId="77777777" w:rsidR="00017D6F" w:rsidRDefault="00000000">
      <w:pPr>
        <w:spacing w:before="60" w:after="40"/>
        <w:ind w:left="1080"/>
      </w:pPr>
      <w:r>
        <w:rPr>
          <w:rFonts w:ascii="Calibri" w:hAnsi="Calibri"/>
        </w:rPr>
        <w:t>a. Remembrance in 'lowly estate' (alluding to Exodus slavery or Babylonian Exile).</w:t>
      </w:r>
    </w:p>
    <w:p w14:paraId="49C675C7" w14:textId="77777777" w:rsidR="00017D6F" w:rsidRDefault="00000000">
      <w:pPr>
        <w:spacing w:before="60" w:after="40"/>
        <w:ind w:left="1080"/>
      </w:pPr>
      <w:r>
        <w:rPr>
          <w:rFonts w:ascii="Calibri" w:hAnsi="Calibri"/>
        </w:rPr>
        <w:t>b. Framing inclusion returning to Hodu ('Give thanks').</w:t>
      </w:r>
    </w:p>
    <w:p w14:paraId="5DA12989" w14:textId="77777777" w:rsidR="00017D6F" w:rsidRDefault="00000000">
      <w:pPr>
        <w:keepNext/>
        <w:spacing w:before="160" w:after="40"/>
      </w:pPr>
      <w:r>
        <w:rPr>
          <w:rFonts w:ascii="Calibri" w:hAnsi="Calibri"/>
          <w:b/>
          <w:color w:val="1F4E79"/>
          <w:sz w:val="24"/>
        </w:rPr>
        <w:t>VI. Canonical Context and Editorial Design of the Psalter</w:t>
      </w:r>
    </w:p>
    <w:p w14:paraId="0AC3493C" w14:textId="77777777" w:rsidR="00017D6F" w:rsidRDefault="00000000">
      <w:pPr>
        <w:spacing w:before="60" w:after="40"/>
        <w:ind w:left="360"/>
      </w:pPr>
      <w:r>
        <w:rPr>
          <w:rFonts w:ascii="Calibri" w:hAnsi="Calibri"/>
        </w:rPr>
        <w:t>A. Principles of Association and Juxtaposition</w:t>
      </w:r>
    </w:p>
    <w:p w14:paraId="00DD3BD2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1. Deliberate clustering of Exodus Psalms in pairs/groups (e.g., Psalms 77–78, 105–106, 135–136).</w:t>
      </w:r>
    </w:p>
    <w:p w14:paraId="424CA388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2. Rejection of random placement in favor of purposeful canonical redaction.</w:t>
      </w:r>
    </w:p>
    <w:p w14:paraId="112A73C0" w14:textId="77777777" w:rsidR="00017D6F" w:rsidRDefault="00000000">
      <w:pPr>
        <w:spacing w:before="60" w:after="40"/>
        <w:ind w:left="360"/>
      </w:pPr>
      <w:r>
        <w:rPr>
          <w:rFonts w:ascii="Calibri" w:hAnsi="Calibri"/>
        </w:rPr>
        <w:t>B. Theological Summary of Session 1</w:t>
      </w:r>
    </w:p>
    <w:p w14:paraId="24A73570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1. Prioritization of theological messaging over strict chronological sequence.</w:t>
      </w:r>
    </w:p>
    <w:p w14:paraId="3DB9D55E" w14:textId="77777777" w:rsidR="00017D6F" w:rsidRDefault="00000000">
      <w:pPr>
        <w:spacing w:before="60" w:after="40"/>
        <w:ind w:left="720"/>
      </w:pPr>
      <w:r>
        <w:rPr>
          <w:rFonts w:ascii="Calibri" w:hAnsi="Calibri"/>
        </w:rPr>
        <w:t>2. Demonstration of how liturgical performance re-enacts foundational history.</w:t>
      </w:r>
    </w:p>
    <w:sectPr w:rsidR="00017D6F" w:rsidSect="000346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C10D6" w14:textId="77777777" w:rsidR="00612CCD" w:rsidRDefault="00612CCD">
      <w:pPr>
        <w:spacing w:after="0" w:line="240" w:lineRule="auto"/>
      </w:pPr>
      <w:r>
        <w:separator/>
      </w:r>
    </w:p>
  </w:endnote>
  <w:endnote w:type="continuationSeparator" w:id="0">
    <w:p w14:paraId="28F483AD" w14:textId="77777777" w:rsidR="00612CCD" w:rsidRDefault="00612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1CDEE" w14:textId="77777777" w:rsidR="00612CCD" w:rsidRDefault="00612CCD">
      <w:pPr>
        <w:spacing w:after="0" w:line="240" w:lineRule="auto"/>
      </w:pPr>
      <w:r>
        <w:separator/>
      </w:r>
    </w:p>
  </w:footnote>
  <w:footnote w:type="continuationSeparator" w:id="0">
    <w:p w14:paraId="040E41C0" w14:textId="77777777" w:rsidR="00612CCD" w:rsidRDefault="00612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A0C0C" w14:textId="77777777" w:rsidR="00017D6F" w:rsidRDefault="00000000">
    <w:pPr>
      <w:pStyle w:val="Header"/>
      <w:jc w:val="right"/>
    </w:pPr>
    <w:r>
      <w:rPr>
        <w:rFonts w:ascii="Calibri" w:hAnsi="Calibri"/>
        <w:color w:val="646464"/>
        <w:sz w:val="20"/>
      </w:rPr>
      <w:fldChar w:fldCharType="begin"/>
    </w:r>
    <w:r>
      <w:rPr>
        <w:rFonts w:ascii="Calibri" w:hAnsi="Calibri"/>
        <w:color w:val="646464"/>
        <w:sz w:val="20"/>
      </w:rPr>
      <w:instrText>PAGE</w:instrText>
    </w:r>
    <w:r>
      <w:rPr>
        <w:rFonts w:ascii="Calibri" w:hAnsi="Calibri"/>
        <w:color w:val="646464"/>
        <w:sz w:val="20"/>
      </w:rPr>
      <w:fldChar w:fldCharType="separate"/>
    </w:r>
    <w:r w:rsidR="00A84A57">
      <w:rPr>
        <w:rFonts w:ascii="Calibri" w:hAnsi="Calibri"/>
        <w:noProof/>
        <w:color w:val="646464"/>
        <w:sz w:val="20"/>
      </w:rPr>
      <w:t>1</w:t>
    </w:r>
    <w:r>
      <w:rPr>
        <w:rFonts w:ascii="Calibri" w:hAnsi="Calibri"/>
        <w:color w:val="646464"/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4122473">
    <w:abstractNumId w:val="8"/>
  </w:num>
  <w:num w:numId="2" w16cid:durableId="1354913451">
    <w:abstractNumId w:val="6"/>
  </w:num>
  <w:num w:numId="3" w16cid:durableId="395907003">
    <w:abstractNumId w:val="5"/>
  </w:num>
  <w:num w:numId="4" w16cid:durableId="2053845778">
    <w:abstractNumId w:val="4"/>
  </w:num>
  <w:num w:numId="5" w16cid:durableId="1937907509">
    <w:abstractNumId w:val="7"/>
  </w:num>
  <w:num w:numId="6" w16cid:durableId="1469123670">
    <w:abstractNumId w:val="3"/>
  </w:num>
  <w:num w:numId="7" w16cid:durableId="1390154229">
    <w:abstractNumId w:val="2"/>
  </w:num>
  <w:num w:numId="8" w16cid:durableId="1968781141">
    <w:abstractNumId w:val="1"/>
  </w:num>
  <w:num w:numId="9" w16cid:durableId="909387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D6F"/>
    <w:rsid w:val="00034616"/>
    <w:rsid w:val="0006063C"/>
    <w:rsid w:val="0015074B"/>
    <w:rsid w:val="0029639D"/>
    <w:rsid w:val="00326F90"/>
    <w:rsid w:val="00612CCD"/>
    <w:rsid w:val="00A84A57"/>
    <w:rsid w:val="00A86B5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556697"/>
  <w14:defaultImageDpi w14:val="300"/>
  <w15:docId w15:val="{2D57C120-7980-4C64-92A2-0475A8C82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Ted Hildebrandt</cp:lastModifiedBy>
  <cp:revision>2</cp:revision>
  <dcterms:created xsi:type="dcterms:W3CDTF">2013-12-23T23:15:00Z</dcterms:created>
  <dcterms:modified xsi:type="dcterms:W3CDTF">2026-10-02T16:09:00Z</dcterms:modified>
  <cp:category/>
</cp:coreProperties>
</file>