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B1B8A" w14:textId="2408D70F" w:rsidR="00EC35EB" w:rsidRDefault="004E5379" w:rsidP="004E5379">
      <w:pPr>
        <w:spacing w:after="80"/>
        <w:jc w:val="center"/>
      </w:pPr>
      <w:r w:rsidRPr="004E5379">
        <w:rPr>
          <w:rFonts w:ascii="Arial" w:hAnsi="Arial"/>
          <w:b/>
          <w:color w:val="595959"/>
          <w:sz w:val="32"/>
          <w:szCs w:val="28"/>
        </w:rPr>
        <w:t xml:space="preserve">The Farewell Discourse, </w:t>
      </w:r>
      <w:proofErr w:type="gramStart"/>
      <w:r w:rsidRPr="004E5379">
        <w:rPr>
          <w:rFonts w:ascii="Arial" w:hAnsi="Arial"/>
          <w:b/>
          <w:color w:val="595959"/>
          <w:sz w:val="32"/>
          <w:szCs w:val="28"/>
        </w:rPr>
        <w:t>Abiding</w:t>
      </w:r>
      <w:proofErr w:type="gramEnd"/>
      <w:r w:rsidRPr="004E5379">
        <w:rPr>
          <w:rFonts w:ascii="Arial" w:hAnsi="Arial"/>
          <w:b/>
          <w:color w:val="595959"/>
          <w:sz w:val="32"/>
          <w:szCs w:val="28"/>
        </w:rPr>
        <w:t xml:space="preserve"> in Christ and Witnessing to the World (John 15:1–16:15)</w:t>
      </w:r>
    </w:p>
    <w:p w14:paraId="58D1F163" w14:textId="7225BAB3" w:rsidR="00EC35EB" w:rsidRPr="004E5379" w:rsidRDefault="00000000" w:rsidP="004E5379">
      <w:pPr>
        <w:spacing w:after="80"/>
        <w:jc w:val="center"/>
        <w:rPr>
          <w:sz w:val="28"/>
          <w:szCs w:val="28"/>
        </w:rPr>
      </w:pPr>
      <w:r w:rsidRPr="004E5379">
        <w:rPr>
          <w:rFonts w:ascii="Arial" w:hAnsi="Arial"/>
          <w:b/>
          <w:color w:val="595959"/>
          <w:sz w:val="32"/>
          <w:szCs w:val="28"/>
        </w:rPr>
        <w:t xml:space="preserve">Session 17: </w:t>
      </w:r>
      <w:r w:rsidRPr="004E5379">
        <w:rPr>
          <w:rFonts w:ascii="Arial" w:hAnsi="Arial"/>
          <w:sz w:val="28"/>
          <w:szCs w:val="28"/>
        </w:rPr>
        <w:t>Lecturer: Dr. David Turner</w:t>
      </w:r>
    </w:p>
    <w:p w14:paraId="092647AC" w14:textId="77777777" w:rsidR="00EC35EB" w:rsidRDefault="00000000">
      <w:pPr>
        <w:spacing w:after="480"/>
        <w:jc w:val="center"/>
      </w:pPr>
      <w:r>
        <w:rPr>
          <w:rFonts w:ascii="Arial" w:hAnsi="Arial"/>
          <w:i/>
          <w:color w:val="7F7F7F"/>
          <w:sz w:val="20"/>
        </w:rPr>
        <w:t>Sponsored by Biblicalelearning.org by Ted Hildebrandt</w:t>
      </w:r>
    </w:p>
    <w:p w14:paraId="1C9849C2" w14:textId="77777777" w:rsidR="00EC35EB" w:rsidRDefault="00000000">
      <w:pPr>
        <w:keepNext/>
        <w:spacing w:before="240" w:after="120"/>
      </w:pPr>
      <w:r>
        <w:rPr>
          <w:rFonts w:ascii="Arial" w:hAnsi="Arial"/>
          <w:b/>
          <w:color w:val="2F5496"/>
          <w:sz w:val="26"/>
        </w:rPr>
        <w:t>Keywords</w:t>
      </w:r>
    </w:p>
    <w:p w14:paraId="19525AC4" w14:textId="77777777" w:rsidR="00EC35EB" w:rsidRDefault="00000000">
      <w:pPr>
        <w:spacing w:after="360"/>
      </w:pPr>
      <w:r>
        <w:rPr>
          <w:rFonts w:ascii="Arial" w:hAnsi="Arial"/>
        </w:rPr>
        <w:t>Abiding, Vine, Branches, Holy Spirit, Persecution, Love, Obedience, Israel, Farewell Discourse</w:t>
      </w:r>
    </w:p>
    <w:p w14:paraId="0770C907" w14:textId="77777777" w:rsidR="00EC35EB" w:rsidRDefault="00000000">
      <w:pPr>
        <w:keepNext/>
        <w:spacing w:before="240" w:after="120"/>
      </w:pPr>
      <w:r>
        <w:rPr>
          <w:rFonts w:ascii="Arial" w:hAnsi="Arial"/>
          <w:b/>
          <w:color w:val="2F5496"/>
          <w:sz w:val="26"/>
        </w:rPr>
        <w:t>Abstract</w:t>
      </w:r>
    </w:p>
    <w:p w14:paraId="0CDCD163" w14:textId="77777777" w:rsidR="00EC35EB" w:rsidRDefault="00000000">
      <w:pPr>
        <w:spacing w:after="360"/>
      </w:pPr>
      <w:r>
        <w:rPr>
          <w:rFonts w:ascii="Arial" w:hAnsi="Arial"/>
        </w:rPr>
        <w:t>This session focuses on Jesus' Farewell Discourse in John 15:1–16:15, using the allegory of the true vine and branches to emphasize the disciples' responsibility to abide in Christ. Dr. Turner explains that abiding in Christ requires active obedience and love, drawing connections to the Old Testament imagery of Israel as God's vineyard. The discussion also addresses the reality of unmerited persecution from the world and how the Holy Spirit acts as a vital helper to sustain the disciples' testimony. Ultimately, believers are depicted as branches that must remain organically connected to Christ, the true vine, to bear lasting fruit.</w:t>
      </w:r>
    </w:p>
    <w:p w14:paraId="0E596D27" w14:textId="77777777" w:rsidR="00EC35EB" w:rsidRDefault="00000000">
      <w:pPr>
        <w:keepNext/>
        <w:spacing w:before="240" w:after="240"/>
      </w:pPr>
      <w:r>
        <w:rPr>
          <w:rFonts w:ascii="Arial" w:hAnsi="Arial"/>
          <w:b/>
          <w:color w:val="2F5496"/>
          <w:sz w:val="26"/>
        </w:rPr>
        <w:t>Outline</w:t>
      </w:r>
    </w:p>
    <w:p w14:paraId="17BD2EC3" w14:textId="77777777" w:rsidR="00EC35EB" w:rsidRDefault="00000000">
      <w:pPr>
        <w:spacing w:before="40" w:after="40"/>
      </w:pPr>
      <w:r>
        <w:rPr>
          <w:rFonts w:ascii="Arial" w:hAnsi="Arial"/>
          <w:b/>
        </w:rPr>
        <w:t>I. Introduction to Session 17 (John 15:1–16:15)</w:t>
      </w:r>
    </w:p>
    <w:p w14:paraId="4FB7AE27" w14:textId="77777777" w:rsidR="00EC35EB" w:rsidRDefault="00000000">
      <w:pPr>
        <w:spacing w:before="40" w:after="40"/>
        <w:ind w:left="504"/>
      </w:pPr>
      <w:r>
        <w:rPr>
          <w:rFonts w:ascii="Arial" w:hAnsi="Arial"/>
        </w:rPr>
        <w:t>A. Context within the Farewell Discourse (Chapters 13–16)</w:t>
      </w:r>
    </w:p>
    <w:p w14:paraId="54A0FAAA" w14:textId="77777777" w:rsidR="00EC35EB" w:rsidRDefault="00000000">
      <w:pPr>
        <w:spacing w:before="40" w:after="40"/>
        <w:ind w:left="1008"/>
      </w:pPr>
      <w:r>
        <w:rPr>
          <w:rFonts w:ascii="Arial" w:hAnsi="Arial"/>
        </w:rPr>
        <w:t>1. Chapter 13: Example of humble service (footwashing)</w:t>
      </w:r>
    </w:p>
    <w:p w14:paraId="3EBD2632" w14:textId="77777777" w:rsidR="00EC35EB" w:rsidRDefault="00000000">
      <w:pPr>
        <w:spacing w:before="40" w:after="40"/>
        <w:ind w:left="1008"/>
      </w:pPr>
      <w:r>
        <w:rPr>
          <w:rFonts w:ascii="Arial" w:hAnsi="Arial"/>
        </w:rPr>
        <w:t>2. Chapter 14: Promise of the Holy Spirit to transform Christ's presence</w:t>
      </w:r>
    </w:p>
    <w:p w14:paraId="796F2F37" w14:textId="77777777" w:rsidR="00EC35EB" w:rsidRDefault="00000000">
      <w:pPr>
        <w:spacing w:before="40" w:after="40"/>
        <w:ind w:left="504"/>
      </w:pPr>
      <w:r>
        <w:rPr>
          <w:rFonts w:ascii="Arial" w:hAnsi="Arial"/>
        </w:rPr>
        <w:t>B. Structure of Chapter 15</w:t>
      </w:r>
    </w:p>
    <w:p w14:paraId="39735621" w14:textId="77777777" w:rsidR="00EC35EB" w:rsidRDefault="00000000">
      <w:pPr>
        <w:spacing w:before="40" w:after="40"/>
        <w:ind w:left="1008"/>
      </w:pPr>
      <w:r>
        <w:rPr>
          <w:rFonts w:ascii="Arial" w:hAnsi="Arial"/>
        </w:rPr>
        <w:t>1. Transition from dialogical teaching in Chapter 14 to direct teaching in Chapter 15</w:t>
      </w:r>
    </w:p>
    <w:p w14:paraId="18BC014A" w14:textId="77777777" w:rsidR="00EC35EB" w:rsidRDefault="00000000">
      <w:pPr>
        <w:spacing w:before="40" w:after="40"/>
        <w:ind w:left="1008"/>
      </w:pPr>
      <w:r>
        <w:rPr>
          <w:rFonts w:ascii="Arial" w:hAnsi="Arial"/>
        </w:rPr>
        <w:t>2. Emphasis on disciples' responsibility to actively abide</w:t>
      </w:r>
    </w:p>
    <w:p w14:paraId="7F8A2A6D" w14:textId="77777777" w:rsidR="00EC35EB" w:rsidRDefault="00000000">
      <w:pPr>
        <w:spacing w:before="40" w:after="40"/>
      </w:pPr>
      <w:r>
        <w:rPr>
          <w:rFonts w:ascii="Arial" w:hAnsi="Arial"/>
          <w:b/>
        </w:rPr>
        <w:t>II. The Allegory of the Vine and the Branches (John 15:1–17)</w:t>
      </w:r>
    </w:p>
    <w:p w14:paraId="728AA0CA" w14:textId="77777777" w:rsidR="00EC35EB" w:rsidRDefault="00000000">
      <w:pPr>
        <w:spacing w:before="40" w:after="40"/>
        <w:ind w:left="504"/>
      </w:pPr>
      <w:r>
        <w:rPr>
          <w:rFonts w:ascii="Arial" w:hAnsi="Arial"/>
        </w:rPr>
        <w:t>A. Narrative and Metaphorical Flow of the Allegory</w:t>
      </w:r>
    </w:p>
    <w:p w14:paraId="4B4755B3" w14:textId="77777777" w:rsidR="00EC35EB" w:rsidRDefault="00000000">
      <w:pPr>
        <w:spacing w:before="40" w:after="40"/>
        <w:ind w:left="1008"/>
      </w:pPr>
      <w:r>
        <w:rPr>
          <w:rFonts w:ascii="Arial" w:hAnsi="Arial"/>
        </w:rPr>
        <w:t>1. God the Father acts as the farmer (vinedresser)</w:t>
      </w:r>
    </w:p>
    <w:p w14:paraId="0AAF98A9" w14:textId="77777777" w:rsidR="00EC35EB" w:rsidRDefault="00000000">
      <w:pPr>
        <w:spacing w:before="40" w:after="40"/>
        <w:ind w:left="1008"/>
      </w:pPr>
      <w:r>
        <w:rPr>
          <w:rFonts w:ascii="Arial" w:hAnsi="Arial"/>
        </w:rPr>
        <w:t>2. Jesus is the true vine</w:t>
      </w:r>
    </w:p>
    <w:p w14:paraId="0D803CB3" w14:textId="77777777" w:rsidR="00EC35EB" w:rsidRDefault="00000000">
      <w:pPr>
        <w:spacing w:before="40" w:after="40"/>
        <w:ind w:left="1008"/>
      </w:pPr>
      <w:r>
        <w:rPr>
          <w:rFonts w:ascii="Arial" w:hAnsi="Arial"/>
        </w:rPr>
        <w:t>3. Disciples are the branches expected to bear fruit</w:t>
      </w:r>
    </w:p>
    <w:p w14:paraId="0BA56670" w14:textId="77777777" w:rsidR="00EC35EB" w:rsidRDefault="00000000">
      <w:pPr>
        <w:spacing w:before="40" w:after="40"/>
        <w:ind w:left="1008"/>
      </w:pPr>
      <w:r>
        <w:rPr>
          <w:rFonts w:ascii="Arial" w:hAnsi="Arial"/>
        </w:rPr>
        <w:t>4. Pruning of fruitful branches vs. cutting off and burning of unfruitful branches</w:t>
      </w:r>
    </w:p>
    <w:p w14:paraId="63578E22" w14:textId="77777777" w:rsidR="00EC35EB" w:rsidRDefault="00000000">
      <w:pPr>
        <w:spacing w:before="40" w:after="40"/>
        <w:ind w:left="504"/>
      </w:pPr>
      <w:r>
        <w:rPr>
          <w:rFonts w:ascii="Arial" w:hAnsi="Arial"/>
        </w:rPr>
        <w:t>B. The Commandment of Love (John 15:9–17)</w:t>
      </w:r>
    </w:p>
    <w:p w14:paraId="30F49814" w14:textId="77777777" w:rsidR="00EC35EB" w:rsidRDefault="00000000">
      <w:pPr>
        <w:spacing w:before="40" w:after="40"/>
        <w:ind w:left="1008"/>
      </w:pPr>
      <w:r>
        <w:rPr>
          <w:rFonts w:ascii="Arial" w:hAnsi="Arial"/>
        </w:rPr>
        <w:t>1. Reiterating and contextualizing the love command</w:t>
      </w:r>
    </w:p>
    <w:p w14:paraId="327AF60F" w14:textId="77777777" w:rsidR="00EC35EB" w:rsidRDefault="00000000">
      <w:pPr>
        <w:spacing w:before="40" w:after="40"/>
        <w:ind w:left="1008"/>
      </w:pPr>
      <w:r>
        <w:rPr>
          <w:rFonts w:ascii="Arial" w:hAnsi="Arial"/>
        </w:rPr>
        <w:t>2. Connection of abiding, loving, and obeying together as fruit-bearing</w:t>
      </w:r>
    </w:p>
    <w:p w14:paraId="323E592B" w14:textId="77777777" w:rsidR="00EC35EB" w:rsidRDefault="00000000">
      <w:pPr>
        <w:spacing w:before="40" w:after="40"/>
      </w:pPr>
      <w:r>
        <w:rPr>
          <w:rFonts w:ascii="Arial" w:hAnsi="Arial"/>
          <w:b/>
        </w:rPr>
        <w:t>III. The Hatred of the World and Persecution (John 15:18–25; 16:1–4)</w:t>
      </w:r>
    </w:p>
    <w:p w14:paraId="1CEF978C" w14:textId="77777777" w:rsidR="00EC35EB" w:rsidRDefault="00000000">
      <w:pPr>
        <w:spacing w:before="40" w:after="40"/>
        <w:ind w:left="504"/>
      </w:pPr>
      <w:r>
        <w:rPr>
          <w:rFonts w:ascii="Arial" w:hAnsi="Arial"/>
        </w:rPr>
        <w:t>A. Reality of the World's Hatred</w:t>
      </w:r>
    </w:p>
    <w:p w14:paraId="2E958FEE" w14:textId="77777777" w:rsidR="00EC35EB" w:rsidRDefault="00000000">
      <w:pPr>
        <w:spacing w:before="40" w:after="40"/>
        <w:ind w:left="1008"/>
      </w:pPr>
      <w:r>
        <w:rPr>
          <w:rFonts w:ascii="Arial" w:hAnsi="Arial"/>
        </w:rPr>
        <w:t>1. Disciples should not be surprised by persecution</w:t>
      </w:r>
    </w:p>
    <w:p w14:paraId="3ABF6E89" w14:textId="77777777" w:rsidR="00EC35EB" w:rsidRDefault="00000000">
      <w:pPr>
        <w:spacing w:before="40" w:after="40"/>
        <w:ind w:left="1008"/>
      </w:pPr>
      <w:r>
        <w:rPr>
          <w:rFonts w:ascii="Arial" w:hAnsi="Arial"/>
        </w:rPr>
        <w:lastRenderedPageBreak/>
        <w:t>2. Opposition is directed at Christ and his message, not the disciples personally</w:t>
      </w:r>
    </w:p>
    <w:p w14:paraId="5D0045C6" w14:textId="77777777" w:rsidR="00EC35EB" w:rsidRDefault="00000000">
      <w:pPr>
        <w:spacing w:before="40" w:after="40"/>
        <w:ind w:left="1008"/>
      </w:pPr>
      <w:r>
        <w:rPr>
          <w:rFonts w:ascii="Arial" w:hAnsi="Arial"/>
        </w:rPr>
        <w:t>3. Unmerited persecution as a natural consequence of alignment with Jesus</w:t>
      </w:r>
    </w:p>
    <w:p w14:paraId="6E81AC1F" w14:textId="77777777" w:rsidR="00EC35EB" w:rsidRDefault="00000000">
      <w:pPr>
        <w:spacing w:before="40" w:after="40"/>
        <w:ind w:left="504"/>
      </w:pPr>
      <w:r>
        <w:rPr>
          <w:rFonts w:ascii="Arial" w:hAnsi="Arial"/>
        </w:rPr>
        <w:t>B. Alternating Structure in Chapters 15–16</w:t>
      </w:r>
    </w:p>
    <w:p w14:paraId="7FB51060" w14:textId="77777777" w:rsidR="00EC35EB" w:rsidRDefault="00000000">
      <w:pPr>
        <w:spacing w:before="40" w:after="40"/>
        <w:ind w:left="1008"/>
      </w:pPr>
      <w:r>
        <w:rPr>
          <w:rFonts w:ascii="Arial" w:hAnsi="Arial"/>
        </w:rPr>
        <w:t>1. Alternations between descriptions of persecution and the comfort of the Spirit's ministry</w:t>
      </w:r>
    </w:p>
    <w:p w14:paraId="60424176" w14:textId="77777777" w:rsidR="00EC35EB" w:rsidRDefault="00000000">
      <w:pPr>
        <w:spacing w:before="40" w:after="40"/>
        <w:ind w:left="1008"/>
      </w:pPr>
      <w:r>
        <w:rPr>
          <w:rFonts w:ascii="Arial" w:hAnsi="Arial"/>
        </w:rPr>
        <w:t>2. Reinforcement of the Spirit as the one who enables disciples to endure and witness</w:t>
      </w:r>
    </w:p>
    <w:p w14:paraId="68D63F2E" w14:textId="77777777" w:rsidR="00EC35EB" w:rsidRDefault="00000000">
      <w:pPr>
        <w:spacing w:before="40" w:after="40"/>
      </w:pPr>
      <w:r>
        <w:rPr>
          <w:rFonts w:ascii="Arial" w:hAnsi="Arial"/>
          <w:b/>
        </w:rPr>
        <w:t>IV. Old Testament and Theological Background of Vineyard Imagery</w:t>
      </w:r>
    </w:p>
    <w:p w14:paraId="7E42B674" w14:textId="77777777" w:rsidR="00EC35EB" w:rsidRDefault="00000000">
      <w:pPr>
        <w:spacing w:before="40" w:after="40"/>
        <w:ind w:left="504"/>
      </w:pPr>
      <w:r>
        <w:rPr>
          <w:rFonts w:ascii="Arial" w:hAnsi="Arial"/>
        </w:rPr>
        <w:t>A. Israel as the Vineyard/Vine of God in the Hebrew Bible</w:t>
      </w:r>
    </w:p>
    <w:p w14:paraId="605E6BD0" w14:textId="77777777" w:rsidR="00EC35EB" w:rsidRDefault="00000000">
      <w:pPr>
        <w:spacing w:before="40" w:after="40"/>
        <w:ind w:left="1008"/>
      </w:pPr>
      <w:r>
        <w:rPr>
          <w:rFonts w:ascii="Arial" w:hAnsi="Arial"/>
        </w:rPr>
        <w:t>1. Historical contexts of agricultural blessing and covenantal love</w:t>
      </w:r>
    </w:p>
    <w:p w14:paraId="215AE527" w14:textId="77777777" w:rsidR="00EC35EB" w:rsidRDefault="00000000">
      <w:pPr>
        <w:spacing w:before="40" w:after="40"/>
        <w:ind w:left="1008"/>
      </w:pPr>
      <w:r>
        <w:rPr>
          <w:rFonts w:ascii="Arial" w:hAnsi="Arial"/>
        </w:rPr>
        <w:t>2. Isaiah 5:1–7 (The Song of the Vineyard)</w:t>
      </w:r>
    </w:p>
    <w:p w14:paraId="3715D3CC" w14:textId="77777777" w:rsidR="00EC35EB" w:rsidRDefault="00000000">
      <w:pPr>
        <w:spacing w:before="40" w:after="40"/>
        <w:ind w:left="1512"/>
      </w:pPr>
      <w:r>
        <w:rPr>
          <w:rFonts w:ascii="Arial" w:hAnsi="Arial"/>
        </w:rPr>
        <w:t>a. God prepared the vineyard for a bumper crop</w:t>
      </w:r>
    </w:p>
    <w:p w14:paraId="5B6B0FA6" w14:textId="77777777" w:rsidR="00EC35EB" w:rsidRDefault="00000000">
      <w:pPr>
        <w:spacing w:before="40" w:after="40"/>
        <w:ind w:left="1512"/>
      </w:pPr>
      <w:r>
        <w:rPr>
          <w:rFonts w:ascii="Arial" w:hAnsi="Arial"/>
        </w:rPr>
        <w:t>b. The vineyard yielded bad fruit, leading to judgment</w:t>
      </w:r>
    </w:p>
    <w:p w14:paraId="35444BA4" w14:textId="77777777" w:rsidR="00EC35EB" w:rsidRDefault="00000000">
      <w:pPr>
        <w:spacing w:before="40" w:after="40"/>
        <w:ind w:left="1008"/>
      </w:pPr>
      <w:r>
        <w:rPr>
          <w:rFonts w:ascii="Arial" w:hAnsi="Arial"/>
        </w:rPr>
        <w:t>3. Corporate personality: Jesus as the 'true vine' fulfills the destiny of Israel</w:t>
      </w:r>
    </w:p>
    <w:p w14:paraId="1816A17B" w14:textId="77777777" w:rsidR="00EC35EB" w:rsidRDefault="00000000">
      <w:pPr>
        <w:spacing w:before="40" w:after="40"/>
        <w:ind w:left="504"/>
      </w:pPr>
      <w:r>
        <w:rPr>
          <w:rFonts w:ascii="Arial" w:hAnsi="Arial"/>
        </w:rPr>
        <w:t>B. Vineyard Imagery in the New Testament</w:t>
      </w:r>
    </w:p>
    <w:p w14:paraId="373DA96D" w14:textId="77777777" w:rsidR="00EC35EB" w:rsidRDefault="00000000">
      <w:pPr>
        <w:spacing w:before="40" w:after="40"/>
        <w:ind w:left="1008"/>
      </w:pPr>
      <w:r>
        <w:rPr>
          <w:rFonts w:ascii="Arial" w:hAnsi="Arial"/>
        </w:rPr>
        <w:t>1. Synoptic parables (Matthew 20, Matthew 21:28, Matthew 21:33)</w:t>
      </w:r>
    </w:p>
    <w:p w14:paraId="539987D9" w14:textId="77777777" w:rsidR="00EC35EB" w:rsidRDefault="00000000">
      <w:pPr>
        <w:spacing w:before="40" w:after="40"/>
        <w:ind w:left="1008"/>
      </w:pPr>
      <w:r>
        <w:rPr>
          <w:rFonts w:ascii="Arial" w:hAnsi="Arial"/>
        </w:rPr>
        <w:t>2. Symbolism of the fruit of the vine at the Passover and Lord's Table</w:t>
      </w:r>
    </w:p>
    <w:p w14:paraId="43FD7416" w14:textId="77777777" w:rsidR="00EC35EB" w:rsidRDefault="00000000">
      <w:pPr>
        <w:spacing w:before="40" w:after="40"/>
        <w:ind w:left="1008"/>
      </w:pPr>
      <w:r>
        <w:rPr>
          <w:rFonts w:ascii="Arial" w:hAnsi="Arial"/>
        </w:rPr>
        <w:t>3. Biblical warnings against the abuse of wine (Proverbs, Ephesians 5:18)</w:t>
      </w:r>
    </w:p>
    <w:p w14:paraId="6D5B4B2D" w14:textId="77777777" w:rsidR="00EC35EB" w:rsidRDefault="00000000">
      <w:pPr>
        <w:spacing w:before="40" w:after="40"/>
        <w:ind w:left="504"/>
      </w:pPr>
      <w:r>
        <w:rPr>
          <w:rFonts w:ascii="Arial" w:hAnsi="Arial"/>
        </w:rPr>
        <w:t>C. Archaeological and Modern Contexts</w:t>
      </w:r>
    </w:p>
    <w:p w14:paraId="625FFFB9" w14:textId="77777777" w:rsidR="00EC35EB" w:rsidRDefault="00000000">
      <w:pPr>
        <w:spacing w:before="40" w:after="40"/>
        <w:ind w:left="1008"/>
      </w:pPr>
      <w:r>
        <w:rPr>
          <w:rFonts w:ascii="Arial" w:hAnsi="Arial"/>
        </w:rPr>
        <w:t>1. Archaeological remains (Sepphoris floor mosaic, stone wine presses)</w:t>
      </w:r>
    </w:p>
    <w:p w14:paraId="17E23826" w14:textId="77777777" w:rsidR="00EC35EB" w:rsidRDefault="00000000">
      <w:pPr>
        <w:spacing w:before="40" w:after="40"/>
        <w:ind w:left="1008"/>
      </w:pPr>
      <w:r>
        <w:rPr>
          <w:rFonts w:ascii="Arial" w:hAnsi="Arial"/>
        </w:rPr>
        <w:t>2. Modern vineyards in Israel (Hefer Valley, Golan Heights)</w:t>
      </w:r>
    </w:p>
    <w:p w14:paraId="5C90B869" w14:textId="77777777" w:rsidR="00EC35EB" w:rsidRDefault="00000000">
      <w:pPr>
        <w:spacing w:before="40" w:after="40"/>
        <w:ind w:left="1008"/>
      </w:pPr>
      <w:r>
        <w:rPr>
          <w:rFonts w:ascii="Arial" w:hAnsi="Arial"/>
        </w:rPr>
        <w:t>3. Michigan vineyards (Chateau Grand Traverse, Chateau Chantal's vine and branches sculpture)</w:t>
      </w:r>
    </w:p>
    <w:p w14:paraId="36FF6D3C" w14:textId="77777777" w:rsidR="00EC35EB" w:rsidRDefault="00000000">
      <w:pPr>
        <w:spacing w:before="40" w:after="40"/>
      </w:pPr>
      <w:r>
        <w:rPr>
          <w:rFonts w:ascii="Arial" w:hAnsi="Arial"/>
          <w:b/>
        </w:rPr>
        <w:t>V. Interpretive Questions in John 15</w:t>
      </w:r>
    </w:p>
    <w:p w14:paraId="000E6F84" w14:textId="77777777" w:rsidR="00EC35EB" w:rsidRDefault="00000000">
      <w:pPr>
        <w:spacing w:before="40" w:after="40"/>
        <w:ind w:left="504"/>
      </w:pPr>
      <w:r>
        <w:rPr>
          <w:rFonts w:ascii="Arial" w:hAnsi="Arial"/>
        </w:rPr>
        <w:t>A. Identification of Unfruitful, Burnt Branches (John 15:6)</w:t>
      </w:r>
    </w:p>
    <w:p w14:paraId="44D8D0D4" w14:textId="77777777" w:rsidR="00EC35EB" w:rsidRDefault="00000000">
      <w:pPr>
        <w:spacing w:before="40" w:after="40"/>
        <w:ind w:left="1008"/>
      </w:pPr>
      <w:r>
        <w:rPr>
          <w:rFonts w:ascii="Arial" w:hAnsi="Arial"/>
        </w:rPr>
        <w:t>1. Contextual connection to Judas Iscariot</w:t>
      </w:r>
    </w:p>
    <w:p w14:paraId="4CD01F7F" w14:textId="77777777" w:rsidR="00EC35EB" w:rsidRDefault="00000000">
      <w:pPr>
        <w:spacing w:before="40" w:after="40"/>
        <w:ind w:left="1008"/>
      </w:pPr>
      <w:r>
        <w:rPr>
          <w:rFonts w:ascii="Arial" w:hAnsi="Arial"/>
        </w:rPr>
        <w:t>2. Theological debates on apostasy and perseverance</w:t>
      </w:r>
    </w:p>
    <w:p w14:paraId="67552161" w14:textId="77777777" w:rsidR="00EC35EB" w:rsidRDefault="00000000">
      <w:pPr>
        <w:spacing w:before="40" w:after="40"/>
        <w:ind w:left="1512"/>
      </w:pPr>
      <w:r>
        <w:rPr>
          <w:rFonts w:ascii="Arial" w:hAnsi="Arial"/>
        </w:rPr>
        <w:t>a. Arminian view: genuine believers can fall away and face judgment</w:t>
      </w:r>
    </w:p>
    <w:p w14:paraId="47EE62B3" w14:textId="77777777" w:rsidR="00EC35EB" w:rsidRDefault="00000000">
      <w:pPr>
        <w:spacing w:before="40" w:after="40"/>
        <w:ind w:left="1512"/>
      </w:pPr>
      <w:r>
        <w:rPr>
          <w:rFonts w:ascii="Arial" w:hAnsi="Arial"/>
        </w:rPr>
        <w:t>b. Calvinistic view: election and the perseverance of the saints</w:t>
      </w:r>
    </w:p>
    <w:p w14:paraId="1F4D4C6A" w14:textId="77777777" w:rsidR="00EC35EB" w:rsidRDefault="00000000">
      <w:pPr>
        <w:spacing w:before="40" w:after="40"/>
        <w:ind w:left="1008"/>
      </w:pPr>
      <w:r>
        <w:rPr>
          <w:rFonts w:ascii="Arial" w:hAnsi="Arial"/>
        </w:rPr>
        <w:t>3. Resolution: True believers persevere; leaders must encourage serious commitment</w:t>
      </w:r>
    </w:p>
    <w:p w14:paraId="73793ABF" w14:textId="77777777" w:rsidR="00EC35EB" w:rsidRDefault="00000000">
      <w:pPr>
        <w:spacing w:before="40" w:after="40"/>
        <w:ind w:left="504"/>
      </w:pPr>
      <w:r>
        <w:rPr>
          <w:rFonts w:ascii="Arial" w:hAnsi="Arial"/>
        </w:rPr>
        <w:t>B. Meaning of 'Fruit' (John 15:2, 4, 5, 8)</w:t>
      </w:r>
    </w:p>
    <w:p w14:paraId="0CCFB317" w14:textId="77777777" w:rsidR="00EC35EB" w:rsidRDefault="00000000">
      <w:pPr>
        <w:spacing w:before="40" w:after="40"/>
        <w:ind w:left="1008"/>
      </w:pPr>
      <w:r>
        <w:rPr>
          <w:rFonts w:ascii="Arial" w:hAnsi="Arial"/>
        </w:rPr>
        <w:t>1. Evangelistic converts (Colossians 1, John 4)</w:t>
      </w:r>
    </w:p>
    <w:p w14:paraId="17163D05" w14:textId="77777777" w:rsidR="00EC35EB" w:rsidRDefault="00000000">
      <w:pPr>
        <w:spacing w:before="40" w:after="40"/>
        <w:ind w:left="1008"/>
      </w:pPr>
      <w:r>
        <w:rPr>
          <w:rFonts w:ascii="Arial" w:hAnsi="Arial"/>
        </w:rPr>
        <w:t>2. Christ-like character and righteousness (Galatians 5, Matthew 3)</w:t>
      </w:r>
    </w:p>
    <w:p w14:paraId="4B2F9D1E" w14:textId="77777777" w:rsidR="00EC35EB" w:rsidRDefault="00000000">
      <w:pPr>
        <w:spacing w:before="40" w:after="40"/>
        <w:ind w:left="1008"/>
      </w:pPr>
      <w:r>
        <w:rPr>
          <w:rFonts w:ascii="Arial" w:hAnsi="Arial"/>
        </w:rPr>
        <w:t>3. Synthesis: Fruit represents any good deed or work resulting from connection to Christ</w:t>
      </w:r>
    </w:p>
    <w:p w14:paraId="7CAB597E" w14:textId="77777777" w:rsidR="00EC35EB" w:rsidRDefault="00000000">
      <w:pPr>
        <w:spacing w:before="40" w:after="40"/>
        <w:ind w:left="504"/>
      </w:pPr>
      <w:r>
        <w:rPr>
          <w:rFonts w:ascii="Arial" w:hAnsi="Arial"/>
        </w:rPr>
        <w:t>C. Practical Application: How to Abide in Christ</w:t>
      </w:r>
    </w:p>
    <w:p w14:paraId="54952F8F" w14:textId="77777777" w:rsidR="00EC35EB" w:rsidRDefault="00000000">
      <w:pPr>
        <w:spacing w:before="40" w:after="40"/>
        <w:ind w:left="1008"/>
      </w:pPr>
      <w:r>
        <w:rPr>
          <w:rFonts w:ascii="Arial" w:hAnsi="Arial"/>
        </w:rPr>
        <w:t>1. Living in constant, daily, organic dependence upon Christ</w:t>
      </w:r>
    </w:p>
    <w:p w14:paraId="7A4E534B" w14:textId="77777777" w:rsidR="00EC35EB" w:rsidRDefault="00000000">
      <w:pPr>
        <w:spacing w:before="40" w:after="40"/>
        <w:ind w:left="1008"/>
      </w:pPr>
      <w:r>
        <w:rPr>
          <w:rFonts w:ascii="Arial" w:hAnsi="Arial"/>
        </w:rPr>
        <w:t>2. The absolute linkage of love and obedience (John 15:10)</w:t>
      </w:r>
    </w:p>
    <w:p w14:paraId="29DE55FD" w14:textId="77777777" w:rsidR="00EC35EB" w:rsidRDefault="00000000">
      <w:pPr>
        <w:spacing w:before="40" w:after="40"/>
        <w:ind w:left="1008"/>
      </w:pPr>
      <w:r>
        <w:rPr>
          <w:rFonts w:ascii="Arial" w:hAnsi="Arial"/>
        </w:rPr>
        <w:t>3. Studying Scripture to understand and apply Christ's commands</w:t>
      </w:r>
    </w:p>
    <w:p w14:paraId="51959A8F" w14:textId="77777777" w:rsidR="00EC35EB" w:rsidRDefault="00000000">
      <w:pPr>
        <w:spacing w:before="40" w:after="40"/>
      </w:pPr>
      <w:r>
        <w:rPr>
          <w:rFonts w:ascii="Arial" w:hAnsi="Arial"/>
          <w:b/>
        </w:rPr>
        <w:lastRenderedPageBreak/>
        <w:t>VI. Key Theological Themes</w:t>
      </w:r>
    </w:p>
    <w:p w14:paraId="73573D02" w14:textId="77777777" w:rsidR="00EC35EB" w:rsidRDefault="00000000">
      <w:pPr>
        <w:spacing w:before="40" w:after="40"/>
        <w:ind w:left="504"/>
      </w:pPr>
      <w:r>
        <w:rPr>
          <w:rFonts w:ascii="Arial" w:hAnsi="Arial"/>
        </w:rPr>
        <w:t>A. Co-witness of the Spirit and the Disciples (John 15:26–27)</w:t>
      </w:r>
    </w:p>
    <w:p w14:paraId="74CC667E" w14:textId="77777777" w:rsidR="00EC35EB" w:rsidRDefault="00000000">
      <w:pPr>
        <w:spacing w:before="40" w:after="40"/>
        <w:ind w:left="1008"/>
      </w:pPr>
      <w:r>
        <w:rPr>
          <w:rFonts w:ascii="Arial" w:hAnsi="Arial"/>
        </w:rPr>
        <w:t>1. Priority of the Holy Spirit's testimony</w:t>
      </w:r>
    </w:p>
    <w:p w14:paraId="6084D7D9" w14:textId="77777777" w:rsidR="00EC35EB" w:rsidRDefault="00000000">
      <w:pPr>
        <w:spacing w:before="40" w:after="40"/>
        <w:ind w:left="1008"/>
      </w:pPr>
      <w:r>
        <w:rPr>
          <w:rFonts w:ascii="Arial" w:hAnsi="Arial"/>
        </w:rPr>
        <w:t>2. Disciples support and cooperate with the Spirit's work</w:t>
      </w:r>
    </w:p>
    <w:p w14:paraId="63598535" w14:textId="77777777" w:rsidR="00EC35EB" w:rsidRDefault="00000000">
      <w:pPr>
        <w:spacing w:before="40" w:after="40"/>
        <w:ind w:left="504"/>
      </w:pPr>
      <w:r>
        <w:rPr>
          <w:rFonts w:ascii="Arial" w:hAnsi="Arial"/>
        </w:rPr>
        <w:t>B. Inseparable Linkage of Love and Obedience</w:t>
      </w:r>
    </w:p>
    <w:p w14:paraId="7C58393D" w14:textId="77777777" w:rsidR="00EC35EB" w:rsidRDefault="00000000">
      <w:pPr>
        <w:spacing w:before="40" w:after="40"/>
        <w:ind w:left="504"/>
      </w:pPr>
      <w:r>
        <w:rPr>
          <w:rFonts w:ascii="Arial" w:hAnsi="Arial"/>
        </w:rPr>
        <w:t>C. Role of the Helper (Paraclete) in Convicting the World and Guiding into Truth</w:t>
      </w:r>
    </w:p>
    <w:p w14:paraId="5F98C415" w14:textId="77777777" w:rsidR="00EC35EB" w:rsidRDefault="00000000">
      <w:pPr>
        <w:spacing w:before="40" w:after="40"/>
        <w:ind w:left="504"/>
      </w:pPr>
      <w:r>
        <w:rPr>
          <w:rFonts w:ascii="Arial" w:hAnsi="Arial"/>
        </w:rPr>
        <w:t>D. Identity of Believers: Merely dependent branches on the Vine</w:t>
      </w:r>
    </w:p>
    <w:sectPr w:rsidR="00EC35EB"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E7467" w14:textId="77777777" w:rsidR="00746F47" w:rsidRDefault="00746F47">
      <w:pPr>
        <w:spacing w:after="0" w:line="240" w:lineRule="auto"/>
      </w:pPr>
      <w:r>
        <w:separator/>
      </w:r>
    </w:p>
  </w:endnote>
  <w:endnote w:type="continuationSeparator" w:id="0">
    <w:p w14:paraId="6B640811" w14:textId="77777777" w:rsidR="00746F47" w:rsidRDefault="00746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7FDE1" w14:textId="77777777" w:rsidR="00746F47" w:rsidRDefault="00746F47">
      <w:pPr>
        <w:spacing w:after="0" w:line="240" w:lineRule="auto"/>
      </w:pPr>
      <w:r>
        <w:separator/>
      </w:r>
    </w:p>
  </w:footnote>
  <w:footnote w:type="continuationSeparator" w:id="0">
    <w:p w14:paraId="22523055" w14:textId="77777777" w:rsidR="00746F47" w:rsidRDefault="00746F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73721" w14:textId="77777777" w:rsidR="00EC35EB" w:rsidRDefault="00000000">
    <w:pPr>
      <w:pStyle w:val="Header"/>
      <w:jc w:val="right"/>
    </w:pPr>
    <w:r>
      <w:fldChar w:fldCharType="begin"/>
    </w:r>
    <w:r>
      <w:instrText>PAGE</w:instrText>
    </w:r>
    <w:r>
      <w:fldChar w:fldCharType="separate"/>
    </w:r>
    <w:r w:rsidR="004E5379">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45519173">
    <w:abstractNumId w:val="8"/>
  </w:num>
  <w:num w:numId="2" w16cid:durableId="629939358">
    <w:abstractNumId w:val="6"/>
  </w:num>
  <w:num w:numId="3" w16cid:durableId="964655267">
    <w:abstractNumId w:val="5"/>
  </w:num>
  <w:num w:numId="4" w16cid:durableId="922228489">
    <w:abstractNumId w:val="4"/>
  </w:num>
  <w:num w:numId="5" w16cid:durableId="449667373">
    <w:abstractNumId w:val="7"/>
  </w:num>
  <w:num w:numId="6" w16cid:durableId="374504476">
    <w:abstractNumId w:val="3"/>
  </w:num>
  <w:num w:numId="7" w16cid:durableId="837771174">
    <w:abstractNumId w:val="2"/>
  </w:num>
  <w:num w:numId="8" w16cid:durableId="918103110">
    <w:abstractNumId w:val="1"/>
  </w:num>
  <w:num w:numId="9" w16cid:durableId="1491286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5074B"/>
    <w:rsid w:val="0029639D"/>
    <w:rsid w:val="00326F90"/>
    <w:rsid w:val="004E5379"/>
    <w:rsid w:val="00746F47"/>
    <w:rsid w:val="00AA1D8D"/>
    <w:rsid w:val="00B47730"/>
    <w:rsid w:val="00CB0664"/>
    <w:rsid w:val="00EC35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9CBE2B"/>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79eacf36-f880-4fc3-af09-91afdaced2e0</vt:lpwstr>
  </property>
</Properties>
</file>