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0FE21" w14:textId="77777777" w:rsidR="00E73F20" w:rsidRDefault="00000000" w:rsidP="00DC391E">
      <w:pPr>
        <w:spacing w:after="80"/>
        <w:jc w:val="center"/>
      </w:pPr>
      <w:r>
        <w:rPr>
          <w:rFonts w:ascii="Calibri" w:hAnsi="Calibri"/>
          <w:b/>
          <w:color w:val="1B365D"/>
          <w:sz w:val="40"/>
        </w:rPr>
        <w:t>Revelation 20: The Binding of Satan and the Introduction to the Millennium</w:t>
      </w:r>
    </w:p>
    <w:p w14:paraId="23121B58" w14:textId="1849F7E9" w:rsidR="00E73F20" w:rsidRDefault="00000000" w:rsidP="00DC391E">
      <w:pPr>
        <w:spacing w:after="360"/>
        <w:jc w:val="center"/>
      </w:pPr>
      <w:r>
        <w:rPr>
          <w:b/>
        </w:rPr>
        <w:t xml:space="preserve">Author: </w:t>
      </w:r>
      <w:r>
        <w:t xml:space="preserve">Dr. Dave Mathewson | </w:t>
      </w:r>
      <w:r>
        <w:rPr>
          <w:b/>
        </w:rPr>
        <w:t>Session</w:t>
      </w:r>
      <w:r>
        <w:t xml:space="preserve"> 26 </w:t>
      </w:r>
      <w:r>
        <w:br/>
      </w:r>
      <w:r>
        <w:rPr>
          <w:i/>
          <w:color w:val="555555"/>
        </w:rPr>
        <w:t>Sponsored by Biblicalelearning.org by Ted Hildebrandt</w:t>
      </w:r>
    </w:p>
    <w:p w14:paraId="08AFD344" w14:textId="77777777" w:rsidR="00E73F20" w:rsidRDefault="00000000">
      <w:pPr>
        <w:pStyle w:val="Heading1"/>
        <w:spacing w:before="240" w:after="80"/>
      </w:pPr>
      <w:r>
        <w:rPr>
          <w:rFonts w:ascii="Calibri" w:hAnsi="Calibri"/>
          <w:color w:val="1B365D"/>
        </w:rPr>
        <w:t>Keywords</w:t>
      </w:r>
    </w:p>
    <w:p w14:paraId="5C489871" w14:textId="77777777" w:rsidR="00E73F20" w:rsidRDefault="00000000">
      <w:pPr>
        <w:spacing w:after="360"/>
      </w:pPr>
      <w:r>
        <w:t>Revelation 20, Binding of Satan, Millennium, Thousand-Year Reign, Great White Throne Judgment, Vindication of Saints, Premillennialism, Amillennialism, Postmillennialism, Second Coming</w:t>
      </w:r>
    </w:p>
    <w:p w14:paraId="680CFE7D" w14:textId="77777777" w:rsidR="00E73F20" w:rsidRDefault="00000000">
      <w:pPr>
        <w:pStyle w:val="Heading1"/>
        <w:spacing w:before="240" w:after="80"/>
      </w:pPr>
      <w:r>
        <w:rPr>
          <w:rFonts w:ascii="Calibri" w:hAnsi="Calibri"/>
          <w:color w:val="1B365D"/>
        </w:rPr>
        <w:t>Abstract</w:t>
      </w:r>
    </w:p>
    <w:p w14:paraId="558C00A3" w14:textId="77777777" w:rsidR="00E73F20" w:rsidRDefault="00000000">
      <w:pPr>
        <w:spacing w:after="360"/>
      </w:pPr>
      <w:r>
        <w:t>In Session 26 of his course on Revelation, Dr. Dave Mathewson analyzes Revelation 20 within the broader contextual framework of Christ's second coming spanning Revelation 19:11 through 21:8. He demonstrates that the chapter functions primarily as a series of divine judgment scenes—highlighting the two-stage deposition of Satan and the full vindication of faithful saints—rather than a strict chronological timeline of end-time events. Examining the symbolic thousand-year reign (the Millennium) and three major church-historical interpretations, Mathewson advocates for hermeneutical humility and positions chapter 20 as a cryptic prelude to the ultimate climax of redemptive history in the New Jerusalem of chapters 21 and 22.</w:t>
      </w:r>
    </w:p>
    <w:p w14:paraId="77015763" w14:textId="77777777" w:rsidR="00E73F20" w:rsidRDefault="00000000">
      <w:pPr>
        <w:pStyle w:val="Heading1"/>
        <w:spacing w:before="240" w:after="160"/>
      </w:pPr>
      <w:r>
        <w:rPr>
          <w:rFonts w:ascii="Calibri" w:hAnsi="Calibri"/>
          <w:color w:val="1B365D"/>
        </w:rPr>
        <w:t>Outline</w:t>
      </w:r>
    </w:p>
    <w:p w14:paraId="09825992" w14:textId="77777777" w:rsidR="00E73F20" w:rsidRDefault="00000000">
      <w:pPr>
        <w:spacing w:before="60" w:after="40"/>
      </w:pPr>
      <w:r>
        <w:rPr>
          <w:rFonts w:ascii="Calibri" w:hAnsi="Calibri"/>
          <w:b/>
          <w:color w:val="1B365D"/>
        </w:rPr>
        <w:t xml:space="preserve">I. </w:t>
      </w:r>
      <w:r>
        <w:rPr>
          <w:rFonts w:ascii="Calibri" w:hAnsi="Calibri"/>
          <w:b/>
        </w:rPr>
        <w:t>Introduction to Revelation 20 and Contextual Framework</w:t>
      </w:r>
    </w:p>
    <w:p w14:paraId="68B2D907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A. Overview of Revelation 20 as the most widely recognized chapter in the book</w:t>
      </w:r>
    </w:p>
    <w:p w14:paraId="303CDB14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Popular associations with the thousand-year reign (Millennium)</w:t>
      </w:r>
    </w:p>
    <w:p w14:paraId="29AD5992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Purpose of the lecture: analyzing the chapter as a whole and its function within Revelation</w:t>
      </w:r>
    </w:p>
    <w:p w14:paraId="7A51FE91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B. Broad Literary Context: Revelation 19:11–21:8</w:t>
      </w:r>
    </w:p>
    <w:p w14:paraId="369FFA49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Paired contrast between Babylon/Rome (ch. 17–18, 19:1–10) and New Jerusalem (21:9–22:5)</w:t>
      </w:r>
    </w:p>
    <w:p w14:paraId="325194DE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Central section (19:11–21:8) portrays and interprets the Second Coming of Christ at the end of history</w:t>
      </w:r>
    </w:p>
    <w:p w14:paraId="7EC8D406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C. Nature of Visionary Sequence vs. Chronological Sequence</w:t>
      </w:r>
    </w:p>
    <w:p w14:paraId="797AE00A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Introductory phrase "Then I saw" indicates John's visionary sequence, not chronological occurrence</w:t>
      </w:r>
    </w:p>
    <w:p w14:paraId="79F1D531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Events from 19:11 through 20:15 convey diverse perspectives describing the same overarching return of Christ</w:t>
      </w:r>
    </w:p>
    <w:p w14:paraId="4D8CB8DA" w14:textId="77777777" w:rsidR="00E73F20" w:rsidRDefault="00000000">
      <w:pPr>
        <w:spacing w:before="60" w:after="40"/>
      </w:pPr>
      <w:r>
        <w:rPr>
          <w:rFonts w:ascii="Calibri" w:hAnsi="Calibri"/>
          <w:b/>
          <w:color w:val="1B365D"/>
        </w:rPr>
        <w:t xml:space="preserve">II. </w:t>
      </w:r>
      <w:r>
        <w:rPr>
          <w:rFonts w:ascii="Calibri" w:hAnsi="Calibri"/>
          <w:b/>
        </w:rPr>
        <w:t>Structure and Three Main Scenes of Revelation 20</w:t>
      </w:r>
    </w:p>
    <w:p w14:paraId="2A9C6D5F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A. Focus on Divine Judgment and Deposition of Evil</w:t>
      </w:r>
    </w:p>
    <w:p w14:paraId="4E1C97BF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Chapter 19 judges and removes the two beasts (the Beast and the False Prophet)</w:t>
      </w:r>
    </w:p>
    <w:p w14:paraId="39F66A1B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lastRenderedPageBreak/>
        <w:t>2. Chapter 20 focuses on the judgment and removal of the Dragon (Satan), mirroring their order of introduction in chapters 12–13</w:t>
      </w:r>
    </w:p>
    <w:p w14:paraId="3D5160FB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B. Scene 1: The Binding of Satan in the Abyss (Revelation 20:1–3)</w:t>
      </w:r>
    </w:p>
    <w:p w14:paraId="7602487C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An angel with the key to the abyss and a great chain binds Satan for 1,000 years</w:t>
      </w:r>
    </w:p>
    <w:p w14:paraId="50A3ABF1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Satan is sealed to prevent him from deceiving the nations during this period</w:t>
      </w:r>
    </w:p>
    <w:p w14:paraId="32080FCC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C. Scene 2: The Resurrection and Reign of the Saints (Revelation 20:4–10)</w:t>
      </w:r>
    </w:p>
    <w:p w14:paraId="7A52D761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Faithful martyrs come to life and reign with Christ for 1,000 years</w:t>
      </w:r>
    </w:p>
    <w:p w14:paraId="571D8F03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Release of Satan, final deception of Gog and Magog, war, and Satan's ultimate destruction in the lake of burning sulfur</w:t>
      </w:r>
    </w:p>
    <w:p w14:paraId="240439C9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D. Scene 3: The Great White Throne Judgment (Revelation 20:11–15)</w:t>
      </w:r>
    </w:p>
    <w:p w14:paraId="5129A9BD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Earth and sky flee from God's presence; books of deeds and the Book of Life are opened</w:t>
      </w:r>
    </w:p>
    <w:p w14:paraId="466189B5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Universal judgment of the dead; death and Hades cast into the lake of fire (the second death)</w:t>
      </w:r>
    </w:p>
    <w:p w14:paraId="26ECBAA0" w14:textId="77777777" w:rsidR="00E73F20" w:rsidRDefault="00000000">
      <w:pPr>
        <w:spacing w:before="60" w:after="40"/>
      </w:pPr>
      <w:r>
        <w:rPr>
          <w:rFonts w:ascii="Calibri" w:hAnsi="Calibri"/>
          <w:b/>
          <w:color w:val="1B365D"/>
        </w:rPr>
        <w:t xml:space="preserve">III. </w:t>
      </w:r>
      <w:r>
        <w:rPr>
          <w:rFonts w:ascii="Calibri" w:hAnsi="Calibri"/>
          <w:b/>
        </w:rPr>
        <w:t>Exegetical Analysis: Scene 1 — The Binding of Satan (Rev 20:1–3)</w:t>
      </w:r>
    </w:p>
    <w:p w14:paraId="62C045BE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A. Identification of the Dragon</w:t>
      </w:r>
    </w:p>
    <w:p w14:paraId="05407E04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Direct link to Revelation 12:9: ancient serpent, devil, Satan</w:t>
      </w:r>
    </w:p>
    <w:p w14:paraId="162F19D3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Symbol of chaos, evil, and Old Testament sea monsters</w:t>
      </w:r>
    </w:p>
    <w:p w14:paraId="27FE7A3D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B. Two-Stage Judgment of Satan</w:t>
      </w:r>
    </w:p>
    <w:p w14:paraId="68A42DAE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Stage 1: Bound and locked in the abyss (pit) for a thousand years</w:t>
      </w:r>
    </w:p>
    <w:p w14:paraId="7D795CE6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Stage 2: Released briefly before final consignment to the lake of fire</w:t>
      </w:r>
    </w:p>
    <w:p w14:paraId="33EDEAF4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C. Background in Old Testament and Jewish Apocalyptic Literature</w:t>
      </w:r>
    </w:p>
    <w:p w14:paraId="495B4ECF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Isaiah 24:21–22 ("Little Apocalypse"): powers bound in prison and punished after many days</w:t>
      </w:r>
    </w:p>
    <w:p w14:paraId="4EEB2F91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1 Enoch 10:4–6: binding of Azazel hand and foot in darkness/pit awaiting great day of judgment</w:t>
      </w:r>
    </w:p>
    <w:p w14:paraId="2F8CBBBF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3. 2 Enoch 7:1–2: angelic prisoners held under guard waiting for measureless judgment</w:t>
      </w:r>
    </w:p>
    <w:p w14:paraId="450B61B5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4. 2 Peter 2:4 and Jude 6: fallen angels held in gloomy dungeons awaiting final judgment</w:t>
      </w:r>
    </w:p>
    <w:p w14:paraId="60B035FE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D. Theological Implications</w:t>
      </w:r>
    </w:p>
    <w:p w14:paraId="631437EC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Absence of dualism: a single angel easily binds Satan under God's supreme sovereignty</w:t>
      </w:r>
    </w:p>
    <w:p w14:paraId="19B25318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Connection to Jesus' earthly ministry: Matthew 12:29 (binding the strong man) and Luke 10:18 (Satan falling)</w:t>
      </w:r>
    </w:p>
    <w:p w14:paraId="692A8AF2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3. First coming inaugurated Satan's binding; second coming consummates his total binding and judgment</w:t>
      </w:r>
    </w:p>
    <w:p w14:paraId="20214DD8" w14:textId="77777777" w:rsidR="00E73F20" w:rsidRDefault="00000000">
      <w:pPr>
        <w:spacing w:before="60" w:after="40"/>
      </w:pPr>
      <w:r>
        <w:rPr>
          <w:rFonts w:ascii="Calibri" w:hAnsi="Calibri"/>
          <w:b/>
          <w:color w:val="1B365D"/>
        </w:rPr>
        <w:t xml:space="preserve">IV. </w:t>
      </w:r>
      <w:r>
        <w:rPr>
          <w:rFonts w:ascii="Calibri" w:hAnsi="Calibri"/>
          <w:b/>
        </w:rPr>
        <w:t>Exegetical Analysis: Scene 2 — The Vindication of the Saints (Rev 20:4–10)</w:t>
      </w:r>
    </w:p>
    <w:p w14:paraId="38B40879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A. The Heavenly Thrones and Seated Rulers (v. 4a)</w:t>
      </w:r>
    </w:p>
    <w:p w14:paraId="6DB5DBDA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Recall of divine sovereignty and kingship motifs from Revelation 4–5</w:t>
      </w:r>
    </w:p>
    <w:p w14:paraId="74C0287D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Identity of throne occupants: overcomers (Rev 3:21) vindicated by judgment rendered on their behalf (Daniel 7:22)</w:t>
      </w:r>
    </w:p>
    <w:p w14:paraId="0ADE2BA4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B. Identity of the Reigning Souls (v. 4b–6)</w:t>
      </w:r>
    </w:p>
    <w:p w14:paraId="083CD92C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lastRenderedPageBreak/>
        <w:t>1. Connection to Rev 6:9–11 (souls under the altar), Rev 12 (faithful witness), and Rev 13 (refusal of beast's mark)</w:t>
      </w:r>
    </w:p>
    <w:p w14:paraId="21640F01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Complete reversal of earthly status: Satan and beasts ruled and killed saints; now Satan is bound while saints come to life and reign</w:t>
      </w:r>
    </w:p>
    <w:p w14:paraId="16A05EAD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3. Representation: faithful martyrs represent the entire faithful people of God maintaining steadfast witness</w:t>
      </w:r>
    </w:p>
    <w:p w14:paraId="215CC700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C. The First Resurrection and Second Death</w:t>
      </w:r>
    </w:p>
    <w:p w14:paraId="7F4B0EA8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Those in the first resurrection are holy and blessed; second death (lake of fire) has no power over them</w:t>
      </w:r>
    </w:p>
    <w:p w14:paraId="7D7E440E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Priestly and royal status: reigning with Christ throughout the thousand years</w:t>
      </w:r>
    </w:p>
    <w:p w14:paraId="7005C532" w14:textId="77777777" w:rsidR="00E73F20" w:rsidRDefault="00000000">
      <w:pPr>
        <w:spacing w:before="60" w:after="40"/>
      </w:pPr>
      <w:r>
        <w:rPr>
          <w:rFonts w:ascii="Calibri" w:hAnsi="Calibri"/>
          <w:b/>
          <w:color w:val="1B365D"/>
        </w:rPr>
        <w:t xml:space="preserve">V. </w:t>
      </w:r>
      <w:r>
        <w:rPr>
          <w:rFonts w:ascii="Calibri" w:hAnsi="Calibri"/>
          <w:b/>
        </w:rPr>
        <w:t>Theological Approaches to the Millennium (Rev 20:4–6)</w:t>
      </w:r>
    </w:p>
    <w:p w14:paraId="286AEF99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A. Historical Disproportion and Significance</w:t>
      </w:r>
    </w:p>
    <w:p w14:paraId="297691BB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Three short verses (20:4–6) have historically become a centerpiece for major theological systems</w:t>
      </w:r>
    </w:p>
    <w:p w14:paraId="44C181E8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Sole explicit mention of a 1,000-year reign in the entire Bible</w:t>
      </w:r>
    </w:p>
    <w:p w14:paraId="4EA18C5A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B. Three Major Eschatological Systems</w:t>
      </w:r>
    </w:p>
    <w:p w14:paraId="26924831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Premillennialism: Christ's Second Coming precedes a literal/future earthly millennial reign</w:t>
      </w:r>
    </w:p>
    <w:p w14:paraId="54E83E11" w14:textId="77777777" w:rsidR="00E73F20" w:rsidRDefault="00000000">
      <w:pPr>
        <w:spacing w:before="20" w:after="40"/>
        <w:ind w:left="1080"/>
      </w:pPr>
      <w:r>
        <w:rPr>
          <w:rFonts w:ascii="Calibri" w:hAnsi="Calibri"/>
        </w:rPr>
        <w:t>a. Classic/Historical Premillennialism vs. Dispensational Premillennialism (national promises to Israel)</w:t>
      </w:r>
    </w:p>
    <w:p w14:paraId="6CA1E9D7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Postmillennialism: Gospel preaching and spiritual renewal usher in a golden age, after which Christ returns</w:t>
      </w:r>
    </w:p>
    <w:p w14:paraId="1A94CAE1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3. Amillennialism: The 1,000 years symbolize the entire current church age between Christ's first and second comings</w:t>
      </w:r>
    </w:p>
    <w:p w14:paraId="5937D142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C. Call for Hermeneutical Humility and Charity</w:t>
      </w:r>
    </w:p>
    <w:p w14:paraId="4D63C1AB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Absence of official millennial dogmas in early ecumenical creeds</w:t>
      </w:r>
    </w:p>
    <w:p w14:paraId="07099E28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History of diversity among godly theologians across all three views</w:t>
      </w:r>
    </w:p>
    <w:p w14:paraId="170520A0" w14:textId="77777777" w:rsidR="00E73F20" w:rsidRDefault="00000000">
      <w:pPr>
        <w:spacing w:before="60" w:after="40"/>
      </w:pPr>
      <w:r>
        <w:rPr>
          <w:rFonts w:ascii="Calibri" w:hAnsi="Calibri"/>
          <w:b/>
          <w:color w:val="1B365D"/>
        </w:rPr>
        <w:t xml:space="preserve">VI. </w:t>
      </w:r>
      <w:r>
        <w:rPr>
          <w:rFonts w:ascii="Calibri" w:hAnsi="Calibri"/>
          <w:b/>
        </w:rPr>
        <w:t>Key Hermeneutical Principles for Interpreting the Millennium</w:t>
      </w:r>
    </w:p>
    <w:p w14:paraId="3AC16787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A. Symbolic Nature of "1,000 Years"</w:t>
      </w:r>
    </w:p>
    <w:p w14:paraId="28AD71DF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Consistent with symbolic numbers in Revelation (3.5 years, 42 months, 1260 days, 7, 12)</w:t>
      </w:r>
    </w:p>
    <w:p w14:paraId="20F64AF6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1,000 (10³) symbolizes divine fullness, completeness, and a period of sovereignly determined duration</w:t>
      </w:r>
    </w:p>
    <w:p w14:paraId="23A675C4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B. Orientation to the Second Coming (19:11–21:8)</w:t>
      </w:r>
    </w:p>
    <w:p w14:paraId="4400B519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Non-linear, non-chronological recap: chapter 20 offers a distinct theological perspective on the return of Christ</w:t>
      </w:r>
    </w:p>
    <w:p w14:paraId="6A305234" w14:textId="77777777" w:rsidR="00E73F20" w:rsidRDefault="00000000">
      <w:pPr>
        <w:spacing w:before="20" w:after="40"/>
        <w:ind w:left="360"/>
      </w:pPr>
      <w:r>
        <w:rPr>
          <w:rFonts w:ascii="Calibri" w:hAnsi="Calibri"/>
        </w:rPr>
        <w:t>C. Cryptic Nature and Function as Prelude</w:t>
      </w:r>
    </w:p>
    <w:p w14:paraId="5ACE71BA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1. Text omits operational details (who saints reign over, exact location)</w:t>
      </w:r>
    </w:p>
    <w:p w14:paraId="3CEDC86F" w14:textId="77777777" w:rsidR="00E73F20" w:rsidRDefault="00000000">
      <w:pPr>
        <w:spacing w:before="20" w:after="40"/>
        <w:ind w:left="720"/>
      </w:pPr>
      <w:r>
        <w:rPr>
          <w:rFonts w:ascii="Calibri" w:hAnsi="Calibri"/>
        </w:rPr>
        <w:t>2. Millennium functions as a prelude/anticipation to the ultimate climax in Revelation 21–22 (New Jerusalem and eternal reign)</w:t>
      </w:r>
    </w:p>
    <w:sectPr w:rsidR="00E73F20" w:rsidSect="000346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D94AC" w14:textId="77777777" w:rsidR="00966E97" w:rsidRDefault="00966E97">
      <w:pPr>
        <w:spacing w:after="0" w:line="240" w:lineRule="auto"/>
      </w:pPr>
      <w:r>
        <w:separator/>
      </w:r>
    </w:p>
  </w:endnote>
  <w:endnote w:type="continuationSeparator" w:id="0">
    <w:p w14:paraId="240DE9B0" w14:textId="77777777" w:rsidR="00966E97" w:rsidRDefault="0096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9A685" w14:textId="77777777" w:rsidR="00966E97" w:rsidRDefault="00966E97">
      <w:pPr>
        <w:spacing w:after="0" w:line="240" w:lineRule="auto"/>
      </w:pPr>
      <w:r>
        <w:separator/>
      </w:r>
    </w:p>
  </w:footnote>
  <w:footnote w:type="continuationSeparator" w:id="0">
    <w:p w14:paraId="7FC8DEDE" w14:textId="77777777" w:rsidR="00966E97" w:rsidRDefault="00966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1393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33A52F" w14:textId="73B8F98C" w:rsidR="00DC391E" w:rsidRDefault="00DC391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567A3A" w14:textId="1ED4725A" w:rsidR="00E73F20" w:rsidRDefault="00E73F2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4725984">
    <w:abstractNumId w:val="8"/>
  </w:num>
  <w:num w:numId="2" w16cid:durableId="131102478">
    <w:abstractNumId w:val="6"/>
  </w:num>
  <w:num w:numId="3" w16cid:durableId="375399155">
    <w:abstractNumId w:val="5"/>
  </w:num>
  <w:num w:numId="4" w16cid:durableId="1188373263">
    <w:abstractNumId w:val="4"/>
  </w:num>
  <w:num w:numId="5" w16cid:durableId="1595891804">
    <w:abstractNumId w:val="7"/>
  </w:num>
  <w:num w:numId="6" w16cid:durableId="1067923690">
    <w:abstractNumId w:val="3"/>
  </w:num>
  <w:num w:numId="7" w16cid:durableId="2002344352">
    <w:abstractNumId w:val="2"/>
  </w:num>
  <w:num w:numId="8" w16cid:durableId="579019442">
    <w:abstractNumId w:val="1"/>
  </w:num>
  <w:num w:numId="9" w16cid:durableId="210101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66E97"/>
    <w:rsid w:val="00AA1D8D"/>
    <w:rsid w:val="00B47730"/>
    <w:rsid w:val="00BD1968"/>
    <w:rsid w:val="00CB0664"/>
    <w:rsid w:val="00DC391E"/>
    <w:rsid w:val="00E73F2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028FD"/>
  <w14:defaultImageDpi w14:val="300"/>
  <w15:docId w15:val="{E51CD0BF-F642-4A00-8EFF-350A31AB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Ted Hildebrandt</cp:lastModifiedBy>
  <cp:revision>2</cp:revision>
  <dcterms:created xsi:type="dcterms:W3CDTF">2013-12-23T23:15:00Z</dcterms:created>
  <dcterms:modified xsi:type="dcterms:W3CDTF">2026-09-10T09:16:00Z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ea35f937-0e89-4779-a487-4a0483bc7b31</vt:lpwstr>
  </property>
</Properties>
</file>