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8E849" w14:textId="77777777" w:rsidR="00ED2A8A" w:rsidRDefault="00000000" w:rsidP="00ED2A8A">
      <w:pPr>
        <w:jc w:val="center"/>
        <w:rPr>
          <w:rFonts w:ascii="Calibri" w:hAnsi="Calibri"/>
          <w:color w:val="505050"/>
        </w:rPr>
      </w:pPr>
      <w:r>
        <w:rPr>
          <w:rFonts w:ascii="Calibri" w:hAnsi="Calibri"/>
          <w:b/>
          <w:sz w:val="32"/>
        </w:rPr>
        <w:t xml:space="preserve">New Testament Literature: </w:t>
      </w:r>
      <w:r w:rsidR="00ED2A8A">
        <w:rPr>
          <w:rFonts w:ascii="Calibri" w:hAnsi="Calibri"/>
          <w:b/>
          <w:sz w:val="32"/>
        </w:rPr>
        <w:t>Excursus</w:t>
      </w:r>
      <w:r>
        <w:rPr>
          <w:rFonts w:ascii="Calibri" w:hAnsi="Calibri"/>
          <w:b/>
          <w:sz w:val="32"/>
        </w:rPr>
        <w:t xml:space="preserve"> – Revelation 11, 20–22</w:t>
      </w:r>
      <w:r>
        <w:rPr>
          <w:rFonts w:ascii="Calibri" w:hAnsi="Calibri"/>
          <w:b/>
          <w:sz w:val="32"/>
        </w:rPr>
        <w:br/>
      </w:r>
      <w:r>
        <w:rPr>
          <w:rFonts w:ascii="Calibri" w:hAnsi="Calibri"/>
          <w:color w:val="505050"/>
        </w:rPr>
        <w:t>Author: Dr. Dave Mathewson</w:t>
      </w:r>
      <w:r>
        <w:rPr>
          <w:rFonts w:ascii="Calibri" w:hAnsi="Calibri"/>
          <w:color w:val="505050"/>
        </w:rPr>
        <w:br/>
        <w:t>Session 38</w:t>
      </w:r>
      <w:r>
        <w:rPr>
          <w:rFonts w:ascii="Calibri" w:hAnsi="Calibri"/>
          <w:color w:val="505050"/>
        </w:rPr>
        <w:br/>
        <w:t>Sponsored by Biblicalelearning.org by Ted Hildebrandt</w:t>
      </w:r>
    </w:p>
    <w:p w14:paraId="6592848A" w14:textId="15340240" w:rsidR="00BB7897" w:rsidRDefault="00000000" w:rsidP="00ED2A8A">
      <w:r>
        <w:rPr>
          <w:rFonts w:ascii="Calibri" w:hAnsi="Calibri"/>
          <w:color w:val="505050"/>
        </w:rPr>
        <w:br/>
      </w:r>
      <w:r>
        <w:rPr>
          <w:rFonts w:ascii="Calibri" w:hAnsi="Calibri"/>
          <w:color w:val="003366"/>
          <w:sz w:val="28"/>
        </w:rPr>
        <w:t>Keywords</w:t>
      </w:r>
    </w:p>
    <w:p w14:paraId="40F392C0" w14:textId="77777777" w:rsidR="00BB7897" w:rsidRDefault="00000000">
      <w:r>
        <w:rPr>
          <w:rFonts w:ascii="Calibri" w:hAnsi="Calibri"/>
        </w:rPr>
        <w:t>Revelation, two witnesses, millennium, New Jerusalem, Babylon, new earth, resurrection, vindication, prophecy, kingdom</w:t>
      </w:r>
    </w:p>
    <w:p w14:paraId="68A4435A" w14:textId="77777777" w:rsidR="00BB7897" w:rsidRDefault="00000000">
      <w:pPr>
        <w:pStyle w:val="Heading1"/>
      </w:pPr>
      <w:r>
        <w:rPr>
          <w:rFonts w:ascii="Calibri" w:hAnsi="Calibri"/>
          <w:color w:val="003366"/>
        </w:rPr>
        <w:t>Abstract</w:t>
      </w:r>
    </w:p>
    <w:p w14:paraId="00B8B661" w14:textId="77777777" w:rsidR="00BB7897" w:rsidRDefault="00000000">
      <w:r>
        <w:rPr>
          <w:rFonts w:ascii="Calibri" w:hAnsi="Calibri"/>
        </w:rPr>
        <w:t>In this lecture, Dr. Dave Mathewson interprets the concluding chapters of Revelation as a symbolic call to Christian faithfulness rather than a literal chronological timeline. He demonstrates how the two witnesses represent the church's prophetic witness in a hostile world and explains the millennium as a brief symbolic depiction of God's final vindication and judgment. Contrasting the fallen city of Babylon with the New Jerusalem, Mathewson emphasizes that the ultimate biblical hope is a renewed physical earth where God dwells with His perfected people. Ultimately, believers are urged to resist worldly compromise and maintain exclusive allegiance to Jesus Christ.</w:t>
      </w:r>
    </w:p>
    <w:p w14:paraId="399EC18A" w14:textId="77777777" w:rsidR="00BB7897" w:rsidRDefault="00000000">
      <w:pPr>
        <w:pStyle w:val="Heading1"/>
      </w:pPr>
      <w:r>
        <w:rPr>
          <w:rFonts w:ascii="Calibri" w:hAnsi="Calibri"/>
          <w:color w:val="003366"/>
        </w:rPr>
        <w:t>Outline</w:t>
      </w:r>
    </w:p>
    <w:p w14:paraId="1A73AAAB" w14:textId="77777777" w:rsidR="00BB7897" w:rsidRDefault="00000000">
      <w:pPr>
        <w:spacing w:before="60" w:after="60"/>
      </w:pPr>
      <w:r>
        <w:rPr>
          <w:rFonts w:ascii="Calibri" w:hAnsi="Calibri"/>
          <w:b/>
          <w:color w:val="003366"/>
          <w:sz w:val="23"/>
        </w:rPr>
        <w:t>I. Introduction and Context of Revelation 11, 20–22</w:t>
      </w:r>
    </w:p>
    <w:p w14:paraId="62672C4C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A. Interpretation of Revelation as symbolic and non-literal</w:t>
      </w:r>
    </w:p>
    <w:p w14:paraId="2B1B5912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B. The ultimate destiny of believers and God's creation</w:t>
      </w:r>
    </w:p>
    <w:p w14:paraId="5334CBDF" w14:textId="77777777" w:rsidR="00BB7897" w:rsidRDefault="00000000">
      <w:pPr>
        <w:spacing w:before="60" w:after="60"/>
      </w:pPr>
      <w:r>
        <w:rPr>
          <w:rFonts w:ascii="Calibri" w:hAnsi="Calibri"/>
          <w:b/>
          <w:color w:val="003366"/>
          <w:sz w:val="23"/>
        </w:rPr>
        <w:t>II. The Two Witnesses and the Church’s Prophetic Role (Revelation 11)</w:t>
      </w:r>
    </w:p>
    <w:p w14:paraId="2B7E1D07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A. Modeling on Moses and Elijah</w:t>
      </w:r>
    </w:p>
    <w:p w14:paraId="202C686A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1. Old Testament background of plagues and authority</w:t>
      </w:r>
    </w:p>
    <w:p w14:paraId="62AE804D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2. Requirement of two or three witnesses for legal validity in Old Testament law</w:t>
      </w:r>
    </w:p>
    <w:p w14:paraId="5B7CE2FC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B. Symbolic Representation of the Church</w:t>
      </w:r>
    </w:p>
    <w:p w14:paraId="611CD5A8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1. Church as the corporate witness in a hostile pagan culture</w:t>
      </w:r>
    </w:p>
    <w:p w14:paraId="2A3D6E64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2. Measuring of the temple as God’s spiritual protection and security</w:t>
      </w:r>
    </w:p>
    <w:p w14:paraId="11C0BC6F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C. Suffering, Martyrdom, and Final Vindication</w:t>
      </w:r>
    </w:p>
    <w:p w14:paraId="2A09BA74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1. Roman Empire (the beast from the abyss) opposition</w:t>
      </w:r>
    </w:p>
    <w:p w14:paraId="5242BC98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2. Ultimate resurrection and vindication of faithful witnesses</w:t>
      </w:r>
    </w:p>
    <w:p w14:paraId="654A05DB" w14:textId="77777777" w:rsidR="00BB7897" w:rsidRDefault="00000000">
      <w:pPr>
        <w:spacing w:before="60" w:after="60"/>
      </w:pPr>
      <w:r>
        <w:rPr>
          <w:rFonts w:ascii="Calibri" w:hAnsi="Calibri"/>
          <w:b/>
          <w:color w:val="003366"/>
          <w:sz w:val="23"/>
        </w:rPr>
        <w:t>III. Understanding the Millennium (Revelation 20)</w:t>
      </w:r>
    </w:p>
    <w:p w14:paraId="63CF9F50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A. Three Historical Views of the Millennium</w:t>
      </w:r>
    </w:p>
    <w:p w14:paraId="2F1FAA76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1. Premillennialism: Christ's return precedes a literal or transitional 1,000-year reign</w:t>
      </w:r>
    </w:p>
    <w:p w14:paraId="6CDB4802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lastRenderedPageBreak/>
        <w:t>2. Postmillennialism: Church establishes golden age through gospel prior to Christ's return</w:t>
      </w:r>
    </w:p>
    <w:p w14:paraId="33665815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3. Amillennialism: Symbolic 1,000 years representing Christ's current reign from heaven</w:t>
      </w:r>
    </w:p>
    <w:p w14:paraId="784DF212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B. Mathewson’s Proposal on Revelation 20</w:t>
      </w:r>
    </w:p>
    <w:p w14:paraId="614C9193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1. Reference to 1,000 years as symbolic rather than a specific chronological period</w:t>
      </w:r>
    </w:p>
    <w:p w14:paraId="5179AA1D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2. Focus on total vindication of saints and defeat of Satan/evil</w:t>
      </w:r>
    </w:p>
    <w:p w14:paraId="43800216" w14:textId="77777777" w:rsidR="00BB7897" w:rsidRDefault="00000000">
      <w:pPr>
        <w:spacing w:before="60" w:after="60"/>
      </w:pPr>
      <w:r>
        <w:rPr>
          <w:rFonts w:ascii="Calibri" w:hAnsi="Calibri"/>
          <w:b/>
          <w:color w:val="003366"/>
          <w:sz w:val="23"/>
        </w:rPr>
        <w:t>IV. A Tale of Two Cities: Babylon vs. New Jerusalem (Revelation 17–18, 21–22)</w:t>
      </w:r>
    </w:p>
    <w:p w14:paraId="20DCE0E2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A. Babylon as the Fallen Roman Empire</w:t>
      </w:r>
    </w:p>
    <w:p w14:paraId="54ABFE3D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1. Seductive power, idolatry, and emperor worship</w:t>
      </w:r>
    </w:p>
    <w:p w14:paraId="65455694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2. Command for believers to "come out of her" and resist compromise</w:t>
      </w:r>
    </w:p>
    <w:p w14:paraId="3017659A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B. New Jerusalem as the Consummated People of God</w:t>
      </w:r>
    </w:p>
    <w:p w14:paraId="0CA185C3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1. Old Testament background (Isaiah, Ezekiel) fulfilled in Christ</w:t>
      </w:r>
    </w:p>
    <w:p w14:paraId="2B9541E3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2. City dimensions (multiples of 12) symbolizing perfected community of God</w:t>
      </w:r>
    </w:p>
    <w:p w14:paraId="180D7636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C. The New Earth as Ultimate Destiny</w:t>
      </w:r>
    </w:p>
    <w:p w14:paraId="577CB9CD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1. Contrast with Gnostic ideas of disembodied heavenly existence</w:t>
      </w:r>
    </w:p>
    <w:p w14:paraId="66F0D28D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2. Continuity with original creation (Genesis 1–2) where God dwells on earth with humanity</w:t>
      </w:r>
    </w:p>
    <w:p w14:paraId="3FCA4656" w14:textId="77777777" w:rsidR="00BB7897" w:rsidRDefault="00000000">
      <w:pPr>
        <w:spacing w:before="60" w:after="60"/>
      </w:pPr>
      <w:r>
        <w:rPr>
          <w:rFonts w:ascii="Calibri" w:hAnsi="Calibri"/>
          <w:b/>
          <w:color w:val="003366"/>
          <w:sz w:val="23"/>
        </w:rPr>
        <w:t>V. Excursus: Creation and New Creation in Biblical Theology</w:t>
      </w:r>
    </w:p>
    <w:p w14:paraId="4DF92649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A. Creation and Fall in Genesis</w:t>
      </w:r>
    </w:p>
    <w:p w14:paraId="6A3E9E93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1. God's original intent for humanity in Eden</w:t>
      </w:r>
    </w:p>
    <w:p w14:paraId="7F56685B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2. Failure of Adam and Israel; expulsion from the land</w:t>
      </w:r>
    </w:p>
    <w:p w14:paraId="30EE6E09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B. Prophetic Hope of Restoration</w:t>
      </w:r>
    </w:p>
    <w:p w14:paraId="4600163A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1. Isaiah 65 and cosmic transformation</w:t>
      </w:r>
    </w:p>
    <w:p w14:paraId="0C618970" w14:textId="77777777" w:rsidR="00BB7897" w:rsidRDefault="00000000">
      <w:pPr>
        <w:spacing w:before="60" w:after="60"/>
        <w:ind w:left="720"/>
      </w:pPr>
      <w:r>
        <w:rPr>
          <w:rFonts w:ascii="Calibri" w:hAnsi="Calibri"/>
        </w:rPr>
        <w:t>2. Inaugurated (already) in Christ (2 Corinthians 5:17) and consummated (not yet) in Revelation</w:t>
      </w:r>
    </w:p>
    <w:p w14:paraId="14E2436A" w14:textId="77777777" w:rsidR="00BB7897" w:rsidRDefault="00000000">
      <w:pPr>
        <w:spacing w:before="60" w:after="60"/>
      </w:pPr>
      <w:r>
        <w:rPr>
          <w:rFonts w:ascii="Calibri" w:hAnsi="Calibri"/>
          <w:b/>
          <w:color w:val="003366"/>
          <w:sz w:val="23"/>
        </w:rPr>
        <w:t>VI. Conclusion and Challenge</w:t>
      </w:r>
    </w:p>
    <w:p w14:paraId="4740F60D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A. Call to exclusive worship and allegiance to God and Jesus Christ</w:t>
      </w:r>
    </w:p>
    <w:p w14:paraId="222C2193" w14:textId="77777777" w:rsidR="00BB7897" w:rsidRDefault="00000000">
      <w:pPr>
        <w:spacing w:before="60" w:after="60"/>
        <w:ind w:left="360"/>
      </w:pPr>
      <w:r>
        <w:rPr>
          <w:rFonts w:ascii="Calibri" w:hAnsi="Calibri"/>
        </w:rPr>
        <w:t>B. Summary of the New Testament Literature series</w:t>
      </w:r>
    </w:p>
    <w:sectPr w:rsidR="00BB7897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0AD49" w14:textId="77777777" w:rsidR="00417899" w:rsidRDefault="00417899">
      <w:pPr>
        <w:spacing w:after="0" w:line="240" w:lineRule="auto"/>
      </w:pPr>
      <w:r>
        <w:separator/>
      </w:r>
    </w:p>
  </w:endnote>
  <w:endnote w:type="continuationSeparator" w:id="0">
    <w:p w14:paraId="631294FE" w14:textId="77777777" w:rsidR="00417899" w:rsidRDefault="00417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F17D8" w14:textId="77777777" w:rsidR="00417899" w:rsidRDefault="00417899">
      <w:pPr>
        <w:spacing w:after="0" w:line="240" w:lineRule="auto"/>
      </w:pPr>
      <w:r>
        <w:separator/>
      </w:r>
    </w:p>
  </w:footnote>
  <w:footnote w:type="continuationSeparator" w:id="0">
    <w:p w14:paraId="74922833" w14:textId="77777777" w:rsidR="00417899" w:rsidRDefault="00417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2075E" w14:textId="77777777" w:rsidR="00BB7897" w:rsidRDefault="00000000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ED2A8A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1193098">
    <w:abstractNumId w:val="8"/>
  </w:num>
  <w:num w:numId="2" w16cid:durableId="2095201437">
    <w:abstractNumId w:val="6"/>
  </w:num>
  <w:num w:numId="3" w16cid:durableId="988901419">
    <w:abstractNumId w:val="5"/>
  </w:num>
  <w:num w:numId="4" w16cid:durableId="1669753173">
    <w:abstractNumId w:val="4"/>
  </w:num>
  <w:num w:numId="5" w16cid:durableId="1284772180">
    <w:abstractNumId w:val="7"/>
  </w:num>
  <w:num w:numId="6" w16cid:durableId="1788305589">
    <w:abstractNumId w:val="3"/>
  </w:num>
  <w:num w:numId="7" w16cid:durableId="368723735">
    <w:abstractNumId w:val="2"/>
  </w:num>
  <w:num w:numId="8" w16cid:durableId="1147089832">
    <w:abstractNumId w:val="1"/>
  </w:num>
  <w:num w:numId="9" w16cid:durableId="177015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311A"/>
    <w:rsid w:val="0029639D"/>
    <w:rsid w:val="00326F90"/>
    <w:rsid w:val="00417899"/>
    <w:rsid w:val="00AA1D8D"/>
    <w:rsid w:val="00B47730"/>
    <w:rsid w:val="00BB7897"/>
    <w:rsid w:val="00CB0664"/>
    <w:rsid w:val="00ED2A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7BF904"/>
  <w14:defaultImageDpi w14:val="300"/>
  <w15:docId w15:val="{F47BD082-35D2-41CE-9F0C-05C59529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2026-09-22T10:07:00Z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06ffa2ea-bc60-4c9c-bfac-cc60dd87c76e</vt:lpwstr>
  </property>
</Properties>
</file>