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4FE54" w14:textId="0409412E" w:rsidR="00E522C8" w:rsidRDefault="00E72C42" w:rsidP="00E72C42">
      <w:pPr>
        <w:spacing w:after="80"/>
        <w:jc w:val="center"/>
      </w:pPr>
      <w:r>
        <w:rPr>
          <w:b/>
          <w:color w:val="1F4E79"/>
          <w:sz w:val="36"/>
        </w:rPr>
        <w:t>Old Testament Literature</w:t>
      </w:r>
      <w:r>
        <w:rPr>
          <w:b/>
          <w:color w:val="1F4E79"/>
          <w:sz w:val="36"/>
        </w:rPr>
        <w:br/>
      </w:r>
      <w:r w:rsidR="00000000">
        <w:rPr>
          <w:b/>
          <w:color w:val="1F4E79"/>
          <w:sz w:val="36"/>
        </w:rPr>
        <w:t>Genesis 1:1–1:2 and the Days of Genesis</w:t>
      </w:r>
    </w:p>
    <w:p w14:paraId="088DA26D" w14:textId="77777777" w:rsidR="00E522C8" w:rsidRDefault="00000000" w:rsidP="00E72C42">
      <w:pPr>
        <w:spacing w:after="40"/>
        <w:jc w:val="center"/>
      </w:pPr>
      <w:r>
        <w:rPr>
          <w:b/>
          <w:sz w:val="24"/>
        </w:rPr>
        <w:t>Author: Dr. Ted Hildebrandt</w:t>
      </w:r>
    </w:p>
    <w:p w14:paraId="3C9CF522" w14:textId="48444B58" w:rsidR="00E522C8" w:rsidRDefault="00000000" w:rsidP="00E72C42">
      <w:pPr>
        <w:spacing w:after="40"/>
        <w:jc w:val="center"/>
      </w:pPr>
      <w:r>
        <w:rPr>
          <w:b/>
          <w:sz w:val="24"/>
        </w:rPr>
        <w:t>Session 5</w:t>
      </w:r>
    </w:p>
    <w:p w14:paraId="6C74E267" w14:textId="77777777" w:rsidR="00E522C8" w:rsidRDefault="00000000" w:rsidP="00E72C42">
      <w:pPr>
        <w:spacing w:after="360"/>
        <w:jc w:val="center"/>
      </w:pPr>
      <w:r>
        <w:rPr>
          <w:i/>
          <w:color w:val="646464"/>
        </w:rPr>
        <w:t>Sponsored by Biblicalelearning.org by Ted Hildebrandt</w:t>
      </w:r>
    </w:p>
    <w:p w14:paraId="5B1E8D71" w14:textId="77777777" w:rsidR="00E522C8" w:rsidRDefault="00000000">
      <w:pPr>
        <w:spacing w:before="240" w:after="80"/>
      </w:pPr>
      <w:r>
        <w:rPr>
          <w:b/>
          <w:color w:val="1F4E79"/>
          <w:sz w:val="28"/>
        </w:rPr>
        <w:t>Keywords</w:t>
      </w:r>
    </w:p>
    <w:p w14:paraId="3E2503FD" w14:textId="77777777" w:rsidR="00E522C8" w:rsidRDefault="00000000">
      <w:pPr>
        <w:spacing w:after="280"/>
      </w:pPr>
      <w:r>
        <w:t>Genesis 1, creation, Gap Theory, Independent Clause View, days of Genesis, ANE context, toledoth, oral tradition, hermeneutics</w:t>
      </w:r>
    </w:p>
    <w:p w14:paraId="2D16D5E1" w14:textId="77777777" w:rsidR="00E522C8" w:rsidRDefault="00000000">
      <w:pPr>
        <w:spacing w:before="240" w:after="80"/>
      </w:pPr>
      <w:r>
        <w:rPr>
          <w:b/>
          <w:color w:val="1F4E79"/>
          <w:sz w:val="28"/>
        </w:rPr>
        <w:t>Abstract</w:t>
      </w:r>
    </w:p>
    <w:p w14:paraId="6017F1D4" w14:textId="77777777" w:rsidR="00E522C8" w:rsidRDefault="00000000">
      <w:pPr>
        <w:spacing w:after="280"/>
      </w:pPr>
      <w:r>
        <w:t>In this lecture, Dr. Ted Hildebrandt examines the opening verses of Genesis 1, comparing three primary interpretations of the relationship between verses 1:1 and 1:2: the Gap Theory, the Dependent Clause View, and the Independent Clause View. By analyzing Hebrew grammar, literary structures, and Ancient Near Eastern parallels, Hildebrandt demonstrates that Moses crafted Genesis 1 using contemporary linguistic and cultural forms to deliver a unique monotheistic revelation. The lecture further addresses biblical creation texts, oral tradition, and the three major views regarding the six days of creation (24-Hour Literal Day, Symbolic Framework, and Day-Age theories). Ultimately, Hildebrandt advocates for a hermeneutic focused on original authorial intent, presenting Genesis 1 as a doxology celebrating God's power and majesty rather than a scientific textbook.</w:t>
      </w:r>
    </w:p>
    <w:p w14:paraId="11A52ABC" w14:textId="77777777" w:rsidR="00E522C8" w:rsidRDefault="00000000">
      <w:pPr>
        <w:spacing w:before="240" w:after="160"/>
      </w:pPr>
      <w:r>
        <w:rPr>
          <w:b/>
          <w:color w:val="1F4E79"/>
          <w:sz w:val="28"/>
        </w:rPr>
        <w:t>Outline</w:t>
      </w:r>
    </w:p>
    <w:p w14:paraId="0865242D" w14:textId="77777777" w:rsidR="00E522C8" w:rsidRDefault="00000000">
      <w:pPr>
        <w:spacing w:before="80" w:after="40"/>
      </w:pPr>
      <w:r>
        <w:rPr>
          <w:b/>
          <w:color w:val="1F4E79"/>
          <w:sz w:val="23"/>
        </w:rPr>
        <w:t>I. Course Introduction and Logistics</w:t>
      </w:r>
    </w:p>
    <w:p w14:paraId="2B297677" w14:textId="77777777" w:rsidR="00E522C8" w:rsidRDefault="00000000">
      <w:pPr>
        <w:spacing w:before="40" w:after="40"/>
        <w:ind w:left="432"/>
      </w:pPr>
      <w:r>
        <w:t>A. Upcoming Exodus reading assignments and select tabernacle chapters</w:t>
      </w:r>
    </w:p>
    <w:p w14:paraId="70B27BD5" w14:textId="77777777" w:rsidR="00E522C8" w:rsidRDefault="00000000">
      <w:pPr>
        <w:spacing w:before="40" w:after="40"/>
        <w:ind w:left="432"/>
      </w:pPr>
      <w:r>
        <w:t>B. Transcriptions, payment deadlines, and course administration</w:t>
      </w:r>
    </w:p>
    <w:p w14:paraId="0A459AF6" w14:textId="77777777" w:rsidR="00E522C8" w:rsidRDefault="00000000">
      <w:pPr>
        <w:spacing w:before="40" w:after="40"/>
        <w:ind w:left="432"/>
      </w:pPr>
      <w:r>
        <w:t>C. Review of foundational concepts: inspiration, canonization, transmission, and translation</w:t>
      </w:r>
    </w:p>
    <w:p w14:paraId="2B567728" w14:textId="77777777" w:rsidR="00E522C8" w:rsidRDefault="00000000">
      <w:pPr>
        <w:spacing w:before="80" w:after="40"/>
      </w:pPr>
      <w:r>
        <w:rPr>
          <w:b/>
          <w:color w:val="1F4E79"/>
          <w:sz w:val="23"/>
        </w:rPr>
        <w:t>II. Syntactical Relationships in Genesis 1:1–1:2</w:t>
      </w:r>
    </w:p>
    <w:p w14:paraId="2F25FE51" w14:textId="77777777" w:rsidR="00E522C8" w:rsidRDefault="00000000">
      <w:pPr>
        <w:spacing w:before="40" w:after="40"/>
        <w:ind w:left="432"/>
      </w:pPr>
      <w:r>
        <w:t>A. The Gap Theory</w:t>
      </w:r>
    </w:p>
    <w:p w14:paraId="5F9A3986" w14:textId="77777777" w:rsidR="00E522C8" w:rsidRDefault="00000000">
      <w:pPr>
        <w:spacing w:before="40" w:after="40"/>
        <w:ind w:left="864"/>
      </w:pPr>
      <w:r>
        <w:t>1. Core premise: Initial creation (v. 1:1) followed by Satan's fall, chaos, and global destruction (v. 1:2)</w:t>
      </w:r>
    </w:p>
    <w:p w14:paraId="3A9DAA30" w14:textId="77777777" w:rsidR="00E522C8" w:rsidRDefault="00000000">
      <w:pPr>
        <w:spacing w:before="40" w:after="40"/>
        <w:ind w:left="864"/>
      </w:pPr>
      <w:r>
        <w:t>2. Arguments used by proponents: Interpretation of 'hayah' as 'became' and 'tohu va-vohu' ('formless and empty') as judgment</w:t>
      </w:r>
    </w:p>
    <w:p w14:paraId="4D96CB7A" w14:textId="77777777" w:rsidR="00E522C8" w:rsidRDefault="00000000">
      <w:pPr>
        <w:spacing w:before="40" w:after="40"/>
        <w:ind w:left="864"/>
      </w:pPr>
      <w:r>
        <w:t>3. Critique: Lacks contextual evidence for sin in Gen 1–2, misinterprets Hebrew grammar, and has been discredited by modern biblical scholarship</w:t>
      </w:r>
    </w:p>
    <w:p w14:paraId="2D08F192" w14:textId="77777777" w:rsidR="00E522C8" w:rsidRDefault="00000000">
      <w:pPr>
        <w:spacing w:before="40" w:after="40"/>
        <w:ind w:left="432"/>
      </w:pPr>
      <w:r>
        <w:t>B. The Dependent Clause View</w:t>
      </w:r>
    </w:p>
    <w:p w14:paraId="4B28373E" w14:textId="77777777" w:rsidR="00E522C8" w:rsidRDefault="00000000">
      <w:pPr>
        <w:spacing w:before="40" w:after="40"/>
        <w:ind w:left="864"/>
      </w:pPr>
      <w:r>
        <w:t>1. Core premise: Renders verse 1 as 'When God began to create...' (e.g., RSV)</w:t>
      </w:r>
    </w:p>
    <w:p w14:paraId="60DC311E" w14:textId="77777777" w:rsidR="00E522C8" w:rsidRDefault="00000000">
      <w:pPr>
        <w:spacing w:before="40" w:after="40"/>
        <w:ind w:left="864"/>
      </w:pPr>
      <w:r>
        <w:lastRenderedPageBreak/>
        <w:t>2. Critique: Implies pre-existing eternal matter and energy, reducing God from Creator to a mere shaper</w:t>
      </w:r>
    </w:p>
    <w:p w14:paraId="7A5545CE" w14:textId="77777777" w:rsidR="00E522C8" w:rsidRDefault="00000000">
      <w:pPr>
        <w:spacing w:before="40" w:after="40"/>
        <w:ind w:left="432"/>
      </w:pPr>
      <w:r>
        <w:t>C. The Independent Clause View (Hildebrandt's Position)</w:t>
      </w:r>
    </w:p>
    <w:p w14:paraId="3463DDFB" w14:textId="77777777" w:rsidR="00E522C8" w:rsidRDefault="00000000">
      <w:pPr>
        <w:spacing w:before="40" w:after="40"/>
        <w:ind w:left="864"/>
      </w:pPr>
      <w:r>
        <w:t>1. Syntactical structure: Verse 1 as summary independent clause, Verse 2 as negative circumstantial clause, Verse 3 as main action clause</w:t>
      </w:r>
    </w:p>
    <w:p w14:paraId="7647C09E" w14:textId="77777777" w:rsidR="00E522C8" w:rsidRDefault="00000000">
      <w:pPr>
        <w:spacing w:before="40" w:after="40"/>
        <w:ind w:left="864"/>
      </w:pPr>
      <w:r>
        <w:t>2. Parallel literary style in Genesis 2:4–7 confirming Moses' characteristic syntax and structural conventions</w:t>
      </w:r>
    </w:p>
    <w:p w14:paraId="39B576D1" w14:textId="77777777" w:rsidR="00E522C8" w:rsidRDefault="00000000">
      <w:pPr>
        <w:spacing w:before="80" w:after="40"/>
      </w:pPr>
      <w:r>
        <w:rPr>
          <w:b/>
          <w:color w:val="1F4E79"/>
          <w:sz w:val="23"/>
        </w:rPr>
        <w:t>III. Ancient Near Eastern (ANE) Cultural and Literary Context</w:t>
      </w:r>
    </w:p>
    <w:p w14:paraId="019C0EDD" w14:textId="77777777" w:rsidR="00E522C8" w:rsidRDefault="00000000">
      <w:pPr>
        <w:spacing w:before="40" w:after="40"/>
        <w:ind w:left="432"/>
      </w:pPr>
      <w:r>
        <w:t>A. Comparative ANE Literature</w:t>
      </w:r>
    </w:p>
    <w:p w14:paraId="5AF2ED14" w14:textId="77777777" w:rsidR="00E522C8" w:rsidRDefault="00000000">
      <w:pPr>
        <w:spacing w:before="40" w:after="40"/>
        <w:ind w:left="864"/>
      </w:pPr>
      <w:r>
        <w:t>1. Parallels in the Gilgamesh Epic (Utnapishtim flood account) and Enuma Elish (Babylonian creation)</w:t>
      </w:r>
    </w:p>
    <w:p w14:paraId="347E0C55" w14:textId="77777777" w:rsidR="00E522C8" w:rsidRDefault="00000000">
      <w:pPr>
        <w:spacing w:before="40" w:after="40"/>
        <w:ind w:left="864"/>
      </w:pPr>
      <w:r>
        <w:t>2. Critical distinctions: Monotheistic creation by divine word versus polytheistic warfare and cosmic carcass shaping</w:t>
      </w:r>
    </w:p>
    <w:p w14:paraId="62ABE5AE" w14:textId="77777777" w:rsidR="00E522C8" w:rsidRDefault="00000000">
      <w:pPr>
        <w:spacing w:before="40" w:after="40"/>
        <w:ind w:left="432"/>
      </w:pPr>
      <w:r>
        <w:t>B. Transmission and Educational Background</w:t>
      </w:r>
    </w:p>
    <w:p w14:paraId="77972504" w14:textId="77777777" w:rsidR="00E522C8" w:rsidRDefault="00000000">
      <w:pPr>
        <w:spacing w:before="40" w:after="40"/>
        <w:ind w:left="864"/>
      </w:pPr>
      <w:r>
        <w:t>1. Role of ancient oral tradition, generational storytelling, and divine corrective revelation</w:t>
      </w:r>
    </w:p>
    <w:p w14:paraId="7C73FE5D" w14:textId="77777777" w:rsidR="00E522C8" w:rsidRDefault="00000000">
      <w:pPr>
        <w:spacing w:before="40" w:after="40"/>
        <w:ind w:left="864"/>
      </w:pPr>
      <w:r>
        <w:t>2. Moses' royal Egyptian education and exposure to Fertile Crescent wisdom literature</w:t>
      </w:r>
    </w:p>
    <w:p w14:paraId="08F235FE" w14:textId="77777777" w:rsidR="00E522C8" w:rsidRDefault="00000000">
      <w:pPr>
        <w:spacing w:before="40" w:after="40"/>
        <w:ind w:left="432"/>
      </w:pPr>
      <w:r>
        <w:t>C. Structural Features of Genesis</w:t>
      </w:r>
    </w:p>
    <w:p w14:paraId="4F0DFCA8" w14:textId="77777777" w:rsidR="00E522C8" w:rsidRDefault="00000000">
      <w:pPr>
        <w:spacing w:before="40" w:after="40"/>
        <w:ind w:left="864"/>
      </w:pPr>
      <w:r>
        <w:t>1. The 'Toledoth' framework ('These are the generations/account of') dividing Genesis into ten structural units</w:t>
      </w:r>
    </w:p>
    <w:p w14:paraId="66A29963" w14:textId="77777777" w:rsidR="00E522C8" w:rsidRDefault="00000000">
      <w:pPr>
        <w:spacing w:before="40" w:after="40"/>
        <w:ind w:left="864"/>
      </w:pPr>
      <w:r>
        <w:t>2. Clay tablet hypothesis and alternating historical-genealogical structure</w:t>
      </w:r>
    </w:p>
    <w:p w14:paraId="06E35B70" w14:textId="77777777" w:rsidR="00E522C8" w:rsidRDefault="00000000">
      <w:pPr>
        <w:spacing w:before="40" w:after="40"/>
        <w:ind w:left="864"/>
      </w:pPr>
      <w:r>
        <w:t>3. Distinction between original structural markers and medieval chapter divisions (added ca. 1200 A.D.)</w:t>
      </w:r>
    </w:p>
    <w:p w14:paraId="5B377D73" w14:textId="77777777" w:rsidR="00E522C8" w:rsidRDefault="00000000">
      <w:pPr>
        <w:spacing w:before="80" w:after="40"/>
      </w:pPr>
      <w:r>
        <w:rPr>
          <w:b/>
          <w:color w:val="1F4E79"/>
          <w:sz w:val="23"/>
        </w:rPr>
        <w:t>IV. Hermeneutics, Language, and Purpose of Genesis 1</w:t>
      </w:r>
    </w:p>
    <w:p w14:paraId="7AD49398" w14:textId="77777777" w:rsidR="00E522C8" w:rsidRDefault="00000000">
      <w:pPr>
        <w:spacing w:before="40" w:after="40"/>
        <w:ind w:left="432"/>
      </w:pPr>
      <w:r>
        <w:t>A. Hebrew Language and Accommodation</w:t>
      </w:r>
    </w:p>
    <w:p w14:paraId="482F20DC" w14:textId="77777777" w:rsidR="00E522C8" w:rsidRDefault="00000000">
      <w:pPr>
        <w:spacing w:before="40" w:after="40"/>
        <w:ind w:left="864"/>
      </w:pPr>
      <w:r>
        <w:t>1. Hebrew as an adapted Canaanite dialect used to communicate divine truth</w:t>
      </w:r>
    </w:p>
    <w:p w14:paraId="530C6E77" w14:textId="77777777" w:rsidR="00E522C8" w:rsidRDefault="00000000">
      <w:pPr>
        <w:spacing w:before="40" w:after="40"/>
        <w:ind w:left="864"/>
      </w:pPr>
      <w:r>
        <w:t>2. Divine accommodation to human language and contemporary phenomenological expressions (e.g., 'four corners of the earth')</w:t>
      </w:r>
    </w:p>
    <w:p w14:paraId="1EF69D34" w14:textId="77777777" w:rsidR="00E522C8" w:rsidRDefault="00000000">
      <w:pPr>
        <w:spacing w:before="40" w:after="40"/>
        <w:ind w:left="432"/>
      </w:pPr>
      <w:r>
        <w:t>B. Primary Purpose and Original Intent</w:t>
      </w:r>
    </w:p>
    <w:p w14:paraId="75F9A2CA" w14:textId="77777777" w:rsidR="00E522C8" w:rsidRDefault="00000000">
      <w:pPr>
        <w:spacing w:before="40" w:after="40"/>
        <w:ind w:left="864"/>
      </w:pPr>
      <w:r>
        <w:t>1. Hermeneutic of original intent: Genesis 1 as an anti-polytheistic polemic rather than an anti-evolutionary text</w:t>
      </w:r>
    </w:p>
    <w:p w14:paraId="04E7037E" w14:textId="77777777" w:rsidR="00E522C8" w:rsidRDefault="00000000">
      <w:pPr>
        <w:spacing w:before="40" w:after="40"/>
        <w:ind w:left="864"/>
      </w:pPr>
      <w:r>
        <w:t>2. Genesis 1 as a doxology celebrating the majesty, sovereignty, and goodness of God</w:t>
      </w:r>
    </w:p>
    <w:p w14:paraId="2D7D9FAA" w14:textId="77777777" w:rsidR="00E522C8" w:rsidRDefault="00000000">
      <w:pPr>
        <w:spacing w:before="40" w:after="40"/>
        <w:ind w:left="432"/>
      </w:pPr>
      <w:r>
        <w:t>C. Theological Themes and Wordplay</w:t>
      </w:r>
    </w:p>
    <w:p w14:paraId="4762FAA6" w14:textId="77777777" w:rsidR="00E522C8" w:rsidRDefault="00000000">
      <w:pPr>
        <w:spacing w:before="40" w:after="40"/>
        <w:ind w:left="864"/>
      </w:pPr>
      <w:r>
        <w:t>1. Creation 'ex nihilo' (out of nothing) by the divine word (Psalm 33:6; Psalm 136)</w:t>
      </w:r>
    </w:p>
    <w:p w14:paraId="3B368D7E" w14:textId="77777777" w:rsidR="00E522C8" w:rsidRDefault="00000000">
      <w:pPr>
        <w:spacing w:before="40" w:after="40"/>
        <w:ind w:left="864"/>
      </w:pPr>
      <w:r>
        <w:t>2. Hebrew wordplay in Adam ('Adamah' / ground / 'Dusty') and Eve ('Havah' / life / 'mother of all living')</w:t>
      </w:r>
    </w:p>
    <w:p w14:paraId="36DEF6C9" w14:textId="77777777" w:rsidR="00E522C8" w:rsidRDefault="00000000">
      <w:pPr>
        <w:spacing w:before="80" w:after="40"/>
      </w:pPr>
      <w:r>
        <w:rPr>
          <w:b/>
          <w:color w:val="1F4E79"/>
          <w:sz w:val="23"/>
        </w:rPr>
        <w:t>V. Interpretive Frameworks for the 'Days' of Genesis</w:t>
      </w:r>
    </w:p>
    <w:p w14:paraId="22AE58F5" w14:textId="77777777" w:rsidR="00E522C8" w:rsidRDefault="00000000">
      <w:pPr>
        <w:spacing w:before="40" w:after="40"/>
        <w:ind w:left="432"/>
      </w:pPr>
      <w:r>
        <w:t>A. Literal 24-Hour Day Theory (Young Earth Creationism)</w:t>
      </w:r>
    </w:p>
    <w:p w14:paraId="159783FA" w14:textId="77777777" w:rsidR="00E522C8" w:rsidRDefault="00000000">
      <w:pPr>
        <w:spacing w:before="40" w:after="40"/>
        <w:ind w:left="864"/>
      </w:pPr>
      <w:r>
        <w:t>1. Posits six 24-hour solar days and a young earth (~10,000–20,000 years)</w:t>
      </w:r>
    </w:p>
    <w:p w14:paraId="70AEC08B" w14:textId="77777777" w:rsidR="00E522C8" w:rsidRDefault="00000000">
      <w:pPr>
        <w:spacing w:before="40" w:after="40"/>
        <w:ind w:left="864"/>
      </w:pPr>
      <w:r>
        <w:lastRenderedPageBreak/>
        <w:t>2. Arguments: Definition of 'yom' in Gen 1:5, Sabbath command in Exodus 20, and numerical modifier usage ('day + number')</w:t>
      </w:r>
    </w:p>
    <w:p w14:paraId="7B1D9392" w14:textId="77777777" w:rsidR="00E522C8" w:rsidRDefault="00000000">
      <w:pPr>
        <w:spacing w:before="40" w:after="40"/>
        <w:ind w:left="864"/>
      </w:pPr>
      <w:r>
        <w:t>3. Concept of 'appearance of age' in creation</w:t>
      </w:r>
    </w:p>
    <w:p w14:paraId="38B34AA4" w14:textId="77777777" w:rsidR="00E522C8" w:rsidRDefault="00000000">
      <w:pPr>
        <w:spacing w:before="40" w:after="40"/>
        <w:ind w:left="432"/>
      </w:pPr>
      <w:r>
        <w:t>B. Symbolic / Framework Day Theory</w:t>
      </w:r>
    </w:p>
    <w:p w14:paraId="51434022" w14:textId="77777777" w:rsidR="00E522C8" w:rsidRDefault="00000000">
      <w:pPr>
        <w:spacing w:before="40" w:after="40"/>
        <w:ind w:left="864"/>
      </w:pPr>
      <w:r>
        <w:t>1. Posits 'yom' as a logical, literary, or revelational framework (e.g., seven days of vision revealed to Moses on Sinai)</w:t>
      </w:r>
    </w:p>
    <w:p w14:paraId="1C0027EE" w14:textId="77777777" w:rsidR="00E522C8" w:rsidRDefault="00000000">
      <w:pPr>
        <w:spacing w:before="40" w:after="40"/>
        <w:ind w:left="864"/>
      </w:pPr>
      <w:r>
        <w:t>2. Focuses on theological structure rather than strict chronological sequence</w:t>
      </w:r>
    </w:p>
    <w:p w14:paraId="4D088531" w14:textId="77777777" w:rsidR="00E522C8" w:rsidRDefault="00000000">
      <w:pPr>
        <w:spacing w:before="40" w:after="40"/>
        <w:ind w:left="432"/>
      </w:pPr>
      <w:r>
        <w:t>C. Day-Age Theory (Old Earth Creationism)</w:t>
      </w:r>
    </w:p>
    <w:p w14:paraId="5AEA7753" w14:textId="77777777" w:rsidR="00E522C8" w:rsidRDefault="00000000">
      <w:pPr>
        <w:spacing w:before="40" w:after="40"/>
        <w:ind w:left="864"/>
      </w:pPr>
      <w:r>
        <w:t>1. Posits 'yom' as denoting long epochs or flexible ages, allowing for an ancient universe (~13.7 billion years)</w:t>
      </w:r>
    </w:p>
    <w:p w14:paraId="6FF092C7" w14:textId="77777777" w:rsidR="00E522C8" w:rsidRDefault="00000000">
      <w:pPr>
        <w:spacing w:before="40" w:after="40"/>
        <w:ind w:left="864"/>
      </w:pPr>
      <w:r>
        <w:t>2. Arguments: Semantic range of 'yom', non-solar nature of Days 1–3, and extensive sequential activities on Day 6</w:t>
      </w:r>
    </w:p>
    <w:p w14:paraId="7B3BBE25" w14:textId="77777777" w:rsidR="00E522C8" w:rsidRDefault="00000000">
      <w:pPr>
        <w:spacing w:before="40" w:after="40"/>
        <w:ind w:left="432"/>
      </w:pPr>
      <w:r>
        <w:t>D. Practical Conclusion</w:t>
      </w:r>
    </w:p>
    <w:p w14:paraId="3DFA9A56" w14:textId="77777777" w:rsidR="00E522C8" w:rsidRDefault="00000000">
      <w:pPr>
        <w:spacing w:before="40" w:after="40"/>
        <w:ind w:left="864"/>
      </w:pPr>
      <w:r>
        <w:t>1. Scripture leaves the exact age of the earth unstated</w:t>
      </w:r>
    </w:p>
    <w:p w14:paraId="51FFA9B0" w14:textId="77777777" w:rsidR="00E522C8" w:rsidRDefault="00000000">
      <w:pPr>
        <w:spacing w:before="40" w:after="40"/>
        <w:ind w:left="864"/>
      </w:pPr>
      <w:r>
        <w:t>2. Call for Christian unity, charity, and focusing on primary theological truths ('major on the majors')</w:t>
      </w:r>
    </w:p>
    <w:sectPr w:rsidR="00E522C8" w:rsidSect="000346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1737A" w14:textId="77777777" w:rsidR="00BE7BE7" w:rsidRDefault="00BE7BE7">
      <w:pPr>
        <w:spacing w:after="0" w:line="240" w:lineRule="auto"/>
      </w:pPr>
      <w:r>
        <w:separator/>
      </w:r>
    </w:p>
  </w:endnote>
  <w:endnote w:type="continuationSeparator" w:id="0">
    <w:p w14:paraId="1D1833FF" w14:textId="77777777" w:rsidR="00BE7BE7" w:rsidRDefault="00BE7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4AF74" w14:textId="77777777" w:rsidR="00BE7BE7" w:rsidRDefault="00BE7BE7">
      <w:pPr>
        <w:spacing w:after="0" w:line="240" w:lineRule="auto"/>
      </w:pPr>
      <w:r>
        <w:separator/>
      </w:r>
    </w:p>
  </w:footnote>
  <w:footnote w:type="continuationSeparator" w:id="0">
    <w:p w14:paraId="2EE8B4B5" w14:textId="77777777" w:rsidR="00BE7BE7" w:rsidRDefault="00BE7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D14A7" w14:textId="77777777" w:rsidR="00E522C8" w:rsidRDefault="00000000">
    <w:pPr>
      <w:pStyle w:val="Header"/>
      <w:jc w:val="right"/>
    </w:pPr>
    <w:r>
      <w:rPr>
        <w:color w:val="808080"/>
        <w:sz w:val="20"/>
      </w:rPr>
      <w:fldChar w:fldCharType="begin"/>
    </w:r>
    <w:r>
      <w:rPr>
        <w:color w:val="808080"/>
        <w:sz w:val="20"/>
      </w:rPr>
      <w:instrText>PAGE</w:instrText>
    </w:r>
    <w:r>
      <w:rPr>
        <w:color w:val="808080"/>
        <w:sz w:val="20"/>
      </w:rPr>
      <w:fldChar w:fldCharType="separate"/>
    </w:r>
    <w:r w:rsidR="00E72C42">
      <w:rPr>
        <w:noProof/>
        <w:color w:val="808080"/>
        <w:sz w:val="20"/>
      </w:rPr>
      <w:t>1</w:t>
    </w:r>
    <w:r>
      <w:rPr>
        <w:color w:val="808080"/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0496196">
    <w:abstractNumId w:val="8"/>
  </w:num>
  <w:num w:numId="2" w16cid:durableId="1736657878">
    <w:abstractNumId w:val="6"/>
  </w:num>
  <w:num w:numId="3" w16cid:durableId="1981574432">
    <w:abstractNumId w:val="5"/>
  </w:num>
  <w:num w:numId="4" w16cid:durableId="1185635530">
    <w:abstractNumId w:val="4"/>
  </w:num>
  <w:num w:numId="5" w16cid:durableId="810366327">
    <w:abstractNumId w:val="7"/>
  </w:num>
  <w:num w:numId="6" w16cid:durableId="1615288416">
    <w:abstractNumId w:val="3"/>
  </w:num>
  <w:num w:numId="7" w16cid:durableId="1913395354">
    <w:abstractNumId w:val="2"/>
  </w:num>
  <w:num w:numId="8" w16cid:durableId="1145396074">
    <w:abstractNumId w:val="1"/>
  </w:num>
  <w:num w:numId="9" w16cid:durableId="1491410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33ED2"/>
    <w:rsid w:val="00AA1D8D"/>
    <w:rsid w:val="00B47730"/>
    <w:rsid w:val="00BE7BE7"/>
    <w:rsid w:val="00CB0664"/>
    <w:rsid w:val="00E522C8"/>
    <w:rsid w:val="00E72C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89E773"/>
  <w14:defaultImageDpi w14:val="300"/>
  <w15:docId w15:val="{72BBA007-CE2A-4B9F-AC59-FF3AC13AA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Ted Hildebrandt</cp:lastModifiedBy>
  <cp:revision>2</cp:revision>
  <dcterms:created xsi:type="dcterms:W3CDTF">2013-12-23T23:15:00Z</dcterms:created>
  <dcterms:modified xsi:type="dcterms:W3CDTF">2026-09-30T17:46:00Z</dcterms:modified>
  <cp:category/>
</cp:coreProperties>
</file>