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5AE15" w14:textId="50F079C1" w:rsidR="00B9601C" w:rsidRDefault="000A60EF" w:rsidP="000A60EF">
      <w:pPr>
        <w:jc w:val="center"/>
      </w:pPr>
      <w:r>
        <w:rPr>
          <w:rFonts w:ascii="Calibri" w:eastAsia="Calibri" w:hAnsi="Calibri" w:cs="Calibri"/>
          <w:b/>
          <w:bCs/>
          <w:sz w:val="42"/>
          <w:szCs w:val="42"/>
        </w:rPr>
        <w:t xml:space="preserve">Dr. Matthew S. </w:t>
      </w:r>
      <w:r w:rsidR="00000000">
        <w:rPr>
          <w:rFonts w:ascii="Calibri" w:eastAsia="Calibri" w:hAnsi="Calibri" w:cs="Calibri"/>
          <w:b/>
          <w:bCs/>
          <w:sz w:val="42"/>
          <w:szCs w:val="42"/>
        </w:rPr>
        <w:t>Harmon</w:t>
      </w:r>
      <w:r>
        <w:rPr>
          <w:rFonts w:ascii="Calibri" w:eastAsia="Calibri" w:hAnsi="Calibri" w:cs="Calibri"/>
          <w:b/>
          <w:bCs/>
          <w:sz w:val="42"/>
          <w:szCs w:val="42"/>
        </w:rPr>
        <w:t>, The Bible Use of the Bible,</w:t>
      </w:r>
      <w:r>
        <w:rPr>
          <w:rFonts w:ascii="Calibri" w:eastAsia="Calibri" w:hAnsi="Calibri" w:cs="Calibri"/>
          <w:b/>
          <w:bCs/>
          <w:sz w:val="42"/>
          <w:szCs w:val="42"/>
        </w:rPr>
        <w:br/>
        <w:t>Session</w:t>
      </w:r>
      <w:r w:rsidR="00000000">
        <w:rPr>
          <w:rFonts w:ascii="Calibri" w:eastAsia="Calibri" w:hAnsi="Calibri" w:cs="Calibri"/>
          <w:b/>
          <w:bCs/>
          <w:sz w:val="42"/>
          <w:szCs w:val="42"/>
        </w:rPr>
        <w:t xml:space="preserve"> 3</w:t>
      </w:r>
      <w:r>
        <w:rPr>
          <w:rFonts w:ascii="Calibri" w:eastAsia="Calibri" w:hAnsi="Calibri" w:cs="Calibri"/>
          <w:b/>
          <w:bCs/>
          <w:sz w:val="42"/>
          <w:szCs w:val="42"/>
        </w:rPr>
        <w:t xml:space="preserve">, </w:t>
      </w:r>
      <w:r w:rsidRPr="000A60EF">
        <w:rPr>
          <w:rFonts w:ascii="Calibri" w:eastAsia="Calibri" w:hAnsi="Calibri" w:cs="Calibri"/>
          <w:b/>
          <w:bCs/>
          <w:sz w:val="42"/>
          <w:szCs w:val="42"/>
        </w:rPr>
        <w:t>Typological Patterns</w:t>
      </w:r>
      <w:r>
        <w:rPr>
          <w:rFonts w:ascii="Calibri" w:eastAsia="Calibri" w:hAnsi="Calibri" w:cs="Calibri"/>
          <w:b/>
          <w:bCs/>
          <w:sz w:val="42"/>
          <w:szCs w:val="42"/>
        </w:rPr>
        <w:t>,</w:t>
      </w:r>
      <w:r>
        <w:rPr>
          <w:rFonts w:ascii="Calibri" w:eastAsia="Calibri" w:hAnsi="Calibri" w:cs="Calibri"/>
          <w:b/>
          <w:bCs/>
          <w:sz w:val="42"/>
          <w:szCs w:val="42"/>
        </w:rPr>
        <w:br/>
      </w:r>
      <w:r w:rsidR="00000000">
        <w:rPr>
          <w:rFonts w:ascii="Calibri" w:eastAsia="Calibri" w:hAnsi="Calibri" w:cs="Calibri"/>
          <w:b/>
          <w:bCs/>
          <w:sz w:val="42"/>
          <w:szCs w:val="42"/>
        </w:rPr>
        <w:t>6</w:t>
      </w:r>
      <w:r>
        <w:rPr>
          <w:rFonts w:ascii="Calibri" w:eastAsia="Calibri" w:hAnsi="Calibri" w:cs="Calibri"/>
          <w:b/>
          <w:bCs/>
          <w:sz w:val="42"/>
          <w:szCs w:val="42"/>
        </w:rPr>
        <w:t>-</w:t>
      </w:r>
      <w:r w:rsidR="00000000">
        <w:rPr>
          <w:rFonts w:ascii="Calibri" w:eastAsia="Calibri" w:hAnsi="Calibri" w:cs="Calibri"/>
          <w:b/>
          <w:bCs/>
          <w:sz w:val="42"/>
          <w:szCs w:val="42"/>
        </w:rPr>
        <w:t>Min</w:t>
      </w:r>
      <w:r>
        <w:rPr>
          <w:rFonts w:ascii="Calibri" w:eastAsia="Calibri" w:hAnsi="Calibri" w:cs="Calibri"/>
          <w:b/>
          <w:bCs/>
          <w:sz w:val="42"/>
          <w:szCs w:val="42"/>
        </w:rPr>
        <w:t>.</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0A60EF">
        <w:rPr>
          <w:rFonts w:ascii="Calibri" w:eastAsia="Calibri" w:hAnsi="Calibri" w:cs="Calibri"/>
          <w:sz w:val="28"/>
          <w:szCs w:val="28"/>
        </w:rPr>
        <w:t>Sponsored by Biblicalelearning</w:t>
      </w:r>
      <w:r>
        <w:rPr>
          <w:rFonts w:ascii="Calibri" w:eastAsia="Calibri" w:hAnsi="Calibri" w:cs="Calibri"/>
          <w:sz w:val="28"/>
          <w:szCs w:val="28"/>
        </w:rPr>
        <w:t>.org</w:t>
      </w:r>
      <w:r w:rsidRPr="000A60EF">
        <w:rPr>
          <w:rFonts w:ascii="Calibri" w:eastAsia="Calibri" w:hAnsi="Calibri" w:cs="Calibri"/>
          <w:sz w:val="28"/>
          <w:szCs w:val="28"/>
        </w:rPr>
        <w:t xml:space="preserve"> by Ted Hildebrandt</w:t>
      </w:r>
      <w:r w:rsidRPr="000A60EF">
        <w:rPr>
          <w:rFonts w:ascii="Calibri" w:eastAsia="Calibri" w:hAnsi="Calibri" w:cs="Calibri"/>
          <w:sz w:val="28"/>
          <w:szCs w:val="28"/>
        </w:rPr>
        <w:br/>
      </w:r>
    </w:p>
    <w:p w14:paraId="3F540477" w14:textId="77777777" w:rsidR="00B9601C" w:rsidRDefault="00000000">
      <w:r>
        <w:rPr>
          <w:rFonts w:ascii="Calibri" w:eastAsia="Calibri" w:hAnsi="Calibri" w:cs="Calibri"/>
          <w:sz w:val="24"/>
          <w:szCs w:val="24"/>
        </w:rPr>
        <w:t xml:space="preserve">The biblical text is heavily self-referential. Later authors constantly borrow from, allude to, and quote earlier ones. But not all scriptural analogies operate on the same </w:t>
      </w:r>
      <w:proofErr w:type="gramStart"/>
      <w:r>
        <w:rPr>
          <w:rFonts w:ascii="Calibri" w:eastAsia="Calibri" w:hAnsi="Calibri" w:cs="Calibri"/>
          <w:sz w:val="24"/>
          <w:szCs w:val="24"/>
        </w:rPr>
        <w:t>level, and</w:t>
      </w:r>
      <w:proofErr w:type="gramEnd"/>
      <w:r>
        <w:rPr>
          <w:rFonts w:ascii="Calibri" w:eastAsia="Calibri" w:hAnsi="Calibri" w:cs="Calibri"/>
          <w:sz w:val="24"/>
          <w:szCs w:val="24"/>
        </w:rPr>
        <w:t xml:space="preserve"> treating them as if they do leads to significant interpretive errors.</w:t>
      </w:r>
    </w:p>
    <w:p w14:paraId="153C22D9" w14:textId="77777777" w:rsidR="00B9601C" w:rsidRDefault="00B9601C"/>
    <w:p w14:paraId="3F119B99" w14:textId="77777777" w:rsidR="00B9601C" w:rsidRDefault="00000000">
      <w:r>
        <w:rPr>
          <w:rFonts w:ascii="Calibri" w:eastAsia="Calibri" w:hAnsi="Calibri" w:cs="Calibri"/>
          <w:sz w:val="24"/>
          <w:szCs w:val="24"/>
        </w:rPr>
        <w:t xml:space="preserve">To understand the architecture of these texts,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examine specific structures connecting an earlier donor text to a later receptor text. The most structurally complex of these connections is called a typological pattern. Typology requires intentional scriptural shaping.</w:t>
      </w:r>
    </w:p>
    <w:p w14:paraId="218B2256" w14:textId="77777777" w:rsidR="00B9601C" w:rsidRDefault="00B9601C"/>
    <w:p w14:paraId="71B10A57" w14:textId="77777777" w:rsidR="00B9601C" w:rsidRDefault="00000000">
      <w:r>
        <w:rPr>
          <w:rFonts w:ascii="Calibri" w:eastAsia="Calibri" w:hAnsi="Calibri" w:cs="Calibri"/>
          <w:sz w:val="24"/>
          <w:szCs w:val="24"/>
        </w:rPr>
        <w:t>The author of the later text must deliberately describe a person, event, or institution in a highly specific way to force the reader to recognize the analogy to the original text. It is a designed feature, not a coincidence. But the analogy must also be selective, drawing only on specific details rather than a one-to-one match.</w:t>
      </w:r>
    </w:p>
    <w:p w14:paraId="2FE6A84A" w14:textId="77777777" w:rsidR="00B9601C" w:rsidRDefault="00B9601C"/>
    <w:p w14:paraId="3ED2DBF3" w14:textId="77777777" w:rsidR="00B9601C" w:rsidRDefault="00000000">
      <w:r>
        <w:rPr>
          <w:rFonts w:ascii="Calibri" w:eastAsia="Calibri" w:hAnsi="Calibri" w:cs="Calibri"/>
          <w:sz w:val="24"/>
          <w:szCs w:val="24"/>
        </w:rPr>
        <w:t>It must be expectational, pointing toward a future resolution. And it must operate within the framework of progressive revelation. This raises a demanding question for modern biblical scholars.</w:t>
      </w:r>
    </w:p>
    <w:p w14:paraId="3A4CD48A" w14:textId="77777777" w:rsidR="00B9601C" w:rsidRDefault="00B9601C"/>
    <w:p w14:paraId="3082951D" w14:textId="77777777" w:rsidR="00B9601C" w:rsidRDefault="00000000">
      <w:r>
        <w:rPr>
          <w:rFonts w:ascii="Calibri" w:eastAsia="Calibri" w:hAnsi="Calibri" w:cs="Calibri"/>
          <w:sz w:val="24"/>
          <w:szCs w:val="24"/>
        </w:rPr>
        <w:t xml:space="preserve">How do we identify these patterns with rigorous objectivity? The debate centers on directionality. Are these patterns strictly predictive structures, embedded by the original authors to look forward? Or are they retrospective lenses, applied by later authors looking backward from the point of fulfillment? Resolving this tension requires building a mechanical framework for typology. Without strict boundaries, readers often default to reading arbitrary, allegorical meaning into the text where none </w:t>
      </w:r>
      <w:proofErr w:type="gramStart"/>
      <w:r>
        <w:rPr>
          <w:rFonts w:ascii="Calibri" w:eastAsia="Calibri" w:hAnsi="Calibri" w:cs="Calibri"/>
          <w:sz w:val="24"/>
          <w:szCs w:val="24"/>
        </w:rPr>
        <w:t>actually exists</w:t>
      </w:r>
      <w:proofErr w:type="gramEnd"/>
      <w:r>
        <w:rPr>
          <w:rFonts w:ascii="Calibri" w:eastAsia="Calibri" w:hAnsi="Calibri" w:cs="Calibri"/>
          <w:sz w:val="24"/>
          <w:szCs w:val="24"/>
        </w:rPr>
        <w:t>.</w:t>
      </w:r>
    </w:p>
    <w:p w14:paraId="1C9F515B" w14:textId="77777777" w:rsidR="00B9601C" w:rsidRDefault="00B9601C"/>
    <w:p w14:paraId="2700BF0A" w14:textId="77777777" w:rsidR="00B9601C" w:rsidRDefault="00000000">
      <w:r>
        <w:rPr>
          <w:rFonts w:ascii="Calibri" w:eastAsia="Calibri" w:hAnsi="Calibri" w:cs="Calibri"/>
          <w:sz w:val="24"/>
          <w:szCs w:val="24"/>
        </w:rPr>
        <w:t xml:space="preserve">To establish the baseline mechanics of a typological pattern, we can look at </w:t>
      </w:r>
      <w:proofErr w:type="gramStart"/>
      <w:r>
        <w:rPr>
          <w:rFonts w:ascii="Calibri" w:eastAsia="Calibri" w:hAnsi="Calibri" w:cs="Calibri"/>
          <w:sz w:val="24"/>
          <w:szCs w:val="24"/>
        </w:rPr>
        <w:t>the Apostle</w:t>
      </w:r>
      <w:proofErr w:type="gramEnd"/>
      <w:r>
        <w:rPr>
          <w:rFonts w:ascii="Calibri" w:eastAsia="Calibri" w:hAnsi="Calibri" w:cs="Calibri"/>
          <w:sz w:val="24"/>
          <w:szCs w:val="24"/>
        </w:rPr>
        <w:t xml:space="preserve"> Paul's exegesis in Romans chapter 5. This is one of the clearest examples of explicit typology in Scripture. This matrix shows the macro-structure of Paul's argument. He explicitly sets up Adam as the original pattern, the type, and maps him directly to Christ, the fulfillment, or the antitype.</w:t>
      </w:r>
    </w:p>
    <w:p w14:paraId="62ADB833" w14:textId="77777777" w:rsidR="00B9601C" w:rsidRDefault="00B9601C"/>
    <w:p w14:paraId="3D806700" w14:textId="77777777" w:rsidR="00B9601C" w:rsidRDefault="00000000">
      <w:r>
        <w:rPr>
          <w:rFonts w:ascii="Calibri" w:eastAsia="Calibri" w:hAnsi="Calibri" w:cs="Calibri"/>
          <w:sz w:val="24"/>
          <w:szCs w:val="24"/>
        </w:rPr>
        <w:t xml:space="preserve">Paul employs selective analogy. He does not recount every detail of Adam's life and apply it to Jesus. He extracts select points of contact, like how one man's action affected </w:t>
      </w:r>
      <w:proofErr w:type="gramStart"/>
      <w:r>
        <w:rPr>
          <w:rFonts w:ascii="Calibri" w:eastAsia="Calibri" w:hAnsi="Calibri" w:cs="Calibri"/>
          <w:sz w:val="24"/>
          <w:szCs w:val="24"/>
        </w:rPr>
        <w:t>the many</w:t>
      </w:r>
      <w:proofErr w:type="gramEnd"/>
      <w:r>
        <w:rPr>
          <w:rFonts w:ascii="Calibri" w:eastAsia="Calibri" w:hAnsi="Calibri" w:cs="Calibri"/>
          <w:sz w:val="24"/>
          <w:szCs w:val="24"/>
        </w:rPr>
        <w:t>, and isolates them for comparison.</w:t>
      </w:r>
    </w:p>
    <w:p w14:paraId="01FC491D" w14:textId="77777777" w:rsidR="00B9601C" w:rsidRDefault="00B9601C"/>
    <w:p w14:paraId="468D9668" w14:textId="77777777" w:rsidR="00B9601C" w:rsidRDefault="00000000">
      <w:r>
        <w:rPr>
          <w:rFonts w:ascii="Calibri" w:eastAsia="Calibri" w:hAnsi="Calibri" w:cs="Calibri"/>
          <w:sz w:val="24"/>
          <w:szCs w:val="24"/>
        </w:rPr>
        <w:t>But the structure also requires escalation. The later reality must surpass the original. By highlighting the contrast between Adam's trespass bringing condemnation and Christ's grace bringing justification, Paul shows the fulfillment is greater than the shadow.</w:t>
      </w:r>
    </w:p>
    <w:p w14:paraId="40CFE874" w14:textId="77777777" w:rsidR="00B9601C" w:rsidRDefault="00B9601C"/>
    <w:p w14:paraId="03157E5D" w14:textId="77777777" w:rsidR="00B9601C" w:rsidRDefault="00000000">
      <w:r>
        <w:rPr>
          <w:rFonts w:ascii="Calibri" w:eastAsia="Calibri" w:hAnsi="Calibri" w:cs="Calibri"/>
          <w:sz w:val="24"/>
          <w:szCs w:val="24"/>
        </w:rPr>
        <w:t>Paul signals this escalation through specific vocabulary. He repeatedly uses the phrase to measure the distance between Adam's failure and Christ's victory. The term antitype does not mean negative or opposed.</w:t>
      </w:r>
    </w:p>
    <w:p w14:paraId="6A9D6F8D" w14:textId="77777777" w:rsidR="00B9601C" w:rsidRDefault="00B9601C"/>
    <w:p w14:paraId="34CD7627" w14:textId="77777777" w:rsidR="00B9601C" w:rsidRDefault="00000000">
      <w:r>
        <w:rPr>
          <w:rFonts w:ascii="Calibri" w:eastAsia="Calibri" w:hAnsi="Calibri" w:cs="Calibri"/>
          <w:sz w:val="24"/>
          <w:szCs w:val="24"/>
        </w:rPr>
        <w:t>It simply designates the final, substantive reality that fulfills the original, faint pattern. Crucially, both ends of this equation are grounded in history. Paul relies on Adam and Christ as historical figures whose real actions had real consequences.</w:t>
      </w:r>
    </w:p>
    <w:p w14:paraId="493A7F4C" w14:textId="77777777" w:rsidR="00B9601C" w:rsidRDefault="00B9601C"/>
    <w:p w14:paraId="64326B3C" w14:textId="77777777" w:rsidR="00B9601C" w:rsidRDefault="00000000">
      <w:r>
        <w:rPr>
          <w:rFonts w:ascii="Calibri" w:eastAsia="Calibri" w:hAnsi="Calibri" w:cs="Calibri"/>
          <w:sz w:val="24"/>
          <w:szCs w:val="24"/>
        </w:rPr>
        <w:t>Typology cannot operate on philosophical myths or abstractions. True typology requires a solid historical foundation combined with a demonstrable structural escalation from the donor text to the receptor text. Paul explicitly labels Adam as a type, but biblical authors also use implicit narrative shaping to trigger these connections.</w:t>
      </w:r>
    </w:p>
    <w:p w14:paraId="7D48DAD3" w14:textId="77777777" w:rsidR="00B9601C" w:rsidRDefault="00B9601C"/>
    <w:p w14:paraId="6EFFBE6B" w14:textId="77777777" w:rsidR="00B9601C" w:rsidRDefault="00000000">
      <w:r>
        <w:rPr>
          <w:rFonts w:ascii="Calibri" w:eastAsia="Calibri" w:hAnsi="Calibri" w:cs="Calibri"/>
          <w:sz w:val="24"/>
          <w:szCs w:val="24"/>
        </w:rPr>
        <w:t>We see this in Matthew 4, during the temptation of Jesus in the wilderness. This timeline illustrates the chronological parallels. Matthew aligns Jesus' fasting for 40 days and 40 nights directly against Israel wandering in the wilderness for 40 years.</w:t>
      </w:r>
    </w:p>
    <w:p w14:paraId="6439131E" w14:textId="77777777" w:rsidR="00B9601C" w:rsidRDefault="00B9601C"/>
    <w:p w14:paraId="7C9F56AA" w14:textId="77777777" w:rsidR="00B9601C" w:rsidRDefault="00000000">
      <w:r>
        <w:rPr>
          <w:rFonts w:ascii="Calibri" w:eastAsia="Calibri" w:hAnsi="Calibri" w:cs="Calibri"/>
          <w:sz w:val="24"/>
          <w:szCs w:val="24"/>
        </w:rPr>
        <w:t>The foundational connection between these two timelines is identity. In the Exodus narrative, God calls Israel his firstborn son. Matthew establishes the exact same title for Jesus, the Son of God.</w:t>
      </w:r>
    </w:p>
    <w:p w14:paraId="07CC9FC3" w14:textId="77777777" w:rsidR="00B9601C" w:rsidRDefault="00B9601C"/>
    <w:p w14:paraId="5019B3D0" w14:textId="77777777" w:rsidR="00B9601C" w:rsidRDefault="00000000">
      <w:r>
        <w:rPr>
          <w:rFonts w:ascii="Calibri" w:eastAsia="Calibri" w:hAnsi="Calibri" w:cs="Calibri"/>
          <w:sz w:val="24"/>
          <w:szCs w:val="24"/>
        </w:rPr>
        <w:t>When Jesus fends off the devil's temptations regarding food, testing God, and idolatry, he responds by quoting Deuteronomy 6 and 8. He is drawing directly from Moses' recounting of Israel's specific failures in those exact same wilderness scenarios. Jesus is positioned to face the exact tests Israel faced. By successfully trusting God in the wilderness, he obeys where the first Son of God failed.</w:t>
      </w:r>
    </w:p>
    <w:p w14:paraId="05140058" w14:textId="77777777" w:rsidR="00B9601C" w:rsidRDefault="00B9601C"/>
    <w:p w14:paraId="6B5DD1E9" w14:textId="77777777" w:rsidR="00B9601C" w:rsidRDefault="00000000">
      <w:r>
        <w:rPr>
          <w:rFonts w:ascii="Calibri" w:eastAsia="Calibri" w:hAnsi="Calibri" w:cs="Calibri"/>
          <w:sz w:val="24"/>
          <w:szCs w:val="24"/>
        </w:rPr>
        <w:t>Matthew did not stumble into these parallels. He deliberately shaped the narrative structure of the temptation account to force the reader to recognize the analogy between Israel and Christ. This level of intentional textual shaping proves that typology relies on deep, interconnected historical contexts rather than surface-level word matching.</w:t>
      </w:r>
    </w:p>
    <w:p w14:paraId="094ABC5A" w14:textId="77777777" w:rsidR="00B9601C" w:rsidRDefault="00B9601C"/>
    <w:p w14:paraId="132880F8" w14:textId="77777777" w:rsidR="00B9601C" w:rsidRDefault="00000000">
      <w:r>
        <w:rPr>
          <w:rFonts w:ascii="Calibri" w:eastAsia="Calibri" w:hAnsi="Calibri" w:cs="Calibri"/>
          <w:sz w:val="24"/>
          <w:szCs w:val="24"/>
        </w:rPr>
        <w:t xml:space="preserve">This brings us back to the debate over directionality. At what point in history does a text </w:t>
      </w:r>
      <w:proofErr w:type="gramStart"/>
      <w:r>
        <w:rPr>
          <w:rFonts w:ascii="Calibri" w:eastAsia="Calibri" w:hAnsi="Calibri" w:cs="Calibri"/>
          <w:sz w:val="24"/>
          <w:szCs w:val="24"/>
        </w:rPr>
        <w:t>actually become</w:t>
      </w:r>
      <w:proofErr w:type="gramEnd"/>
      <w:r>
        <w:rPr>
          <w:rFonts w:ascii="Calibri" w:eastAsia="Calibri" w:hAnsi="Calibri" w:cs="Calibri"/>
          <w:sz w:val="24"/>
          <w:szCs w:val="24"/>
        </w:rPr>
        <w:t xml:space="preserve"> a type? Scholar James Hamilton argues for prospective typology. This model suggests that the original text is deliberately pointing forward.</w:t>
      </w:r>
    </w:p>
    <w:p w14:paraId="13E86D62" w14:textId="77777777" w:rsidR="00B9601C" w:rsidRDefault="00B9601C"/>
    <w:p w14:paraId="56B9006C" w14:textId="77777777" w:rsidR="00B9601C" w:rsidRDefault="00000000">
      <w:r>
        <w:rPr>
          <w:rFonts w:ascii="Calibri" w:eastAsia="Calibri" w:hAnsi="Calibri" w:cs="Calibri"/>
          <w:sz w:val="24"/>
          <w:szCs w:val="24"/>
        </w:rPr>
        <w:t xml:space="preserve">For example, in Deuteronomy 18, God tells Moses he will raise up a prophet like you from among the Israelites. The text itself possesses explicit predictive elements anticipating </w:t>
      </w:r>
      <w:proofErr w:type="gramStart"/>
      <w:r>
        <w:rPr>
          <w:rFonts w:ascii="Calibri" w:eastAsia="Calibri" w:hAnsi="Calibri" w:cs="Calibri"/>
          <w:sz w:val="24"/>
          <w:szCs w:val="24"/>
        </w:rPr>
        <w:t>a future</w:t>
      </w:r>
      <w:proofErr w:type="gramEnd"/>
      <w:r>
        <w:rPr>
          <w:rFonts w:ascii="Calibri" w:eastAsia="Calibri" w:hAnsi="Calibri" w:cs="Calibri"/>
          <w:sz w:val="24"/>
          <w:szCs w:val="24"/>
        </w:rPr>
        <w:t xml:space="preserve"> fulfillment. Conversely, Richard Hayes argues for retrospective typology.</w:t>
      </w:r>
    </w:p>
    <w:p w14:paraId="12521571" w14:textId="77777777" w:rsidR="00B9601C" w:rsidRDefault="00B9601C"/>
    <w:p w14:paraId="720D3A3C" w14:textId="77777777" w:rsidR="00B9601C" w:rsidRDefault="00000000">
      <w:r>
        <w:rPr>
          <w:rFonts w:ascii="Calibri" w:eastAsia="Calibri" w:hAnsi="Calibri" w:cs="Calibri"/>
          <w:sz w:val="24"/>
          <w:szCs w:val="24"/>
        </w:rPr>
        <w:t>He points to texts like 1 Corinthians 5, where Paul calls Christ our Passover Lamb. Nothing in the original Exodus account of the Passover indicates it is predicting a future human sacrifice. Hayes argues that the correspondence can only be seen looking backward from the point of fulfillment.</w:t>
      </w:r>
    </w:p>
    <w:p w14:paraId="007FF3C1" w14:textId="77777777" w:rsidR="00B9601C" w:rsidRDefault="00B9601C"/>
    <w:p w14:paraId="47B6F294" w14:textId="77777777" w:rsidR="00B9601C" w:rsidRDefault="00000000">
      <w:r>
        <w:rPr>
          <w:rFonts w:ascii="Calibri" w:eastAsia="Calibri" w:hAnsi="Calibri" w:cs="Calibri"/>
          <w:sz w:val="24"/>
          <w:szCs w:val="24"/>
        </w:rPr>
        <w:t xml:space="preserve">The biblical framework </w:t>
      </w:r>
      <w:proofErr w:type="gramStart"/>
      <w:r>
        <w:rPr>
          <w:rFonts w:ascii="Calibri" w:eastAsia="Calibri" w:hAnsi="Calibri" w:cs="Calibri"/>
          <w:sz w:val="24"/>
          <w:szCs w:val="24"/>
        </w:rPr>
        <w:t>actually utilizes</w:t>
      </w:r>
      <w:proofErr w:type="gramEnd"/>
      <w:r>
        <w:rPr>
          <w:rFonts w:ascii="Calibri" w:eastAsia="Calibri" w:hAnsi="Calibri" w:cs="Calibri"/>
          <w:sz w:val="24"/>
          <w:szCs w:val="24"/>
        </w:rPr>
        <w:t xml:space="preserve"> both. Forcing a choice between prospective and retrospective typology is a false dichotomy. Let's consider how crime scene investigators work.</w:t>
      </w:r>
    </w:p>
    <w:p w14:paraId="5084EBD6" w14:textId="77777777" w:rsidR="00B9601C" w:rsidRDefault="00B9601C"/>
    <w:p w14:paraId="16584E68" w14:textId="77777777" w:rsidR="00B9601C" w:rsidRDefault="00000000">
      <w:r>
        <w:rPr>
          <w:rFonts w:ascii="Calibri" w:eastAsia="Calibri" w:hAnsi="Calibri" w:cs="Calibri"/>
          <w:sz w:val="24"/>
          <w:szCs w:val="24"/>
        </w:rPr>
        <w:t xml:space="preserve">They spray a chemical called luminol into a room to reveal blood that is entirely invisible to the naked eye. The luminol does not put </w:t>
      </w:r>
      <w:proofErr w:type="gramStart"/>
      <w:r>
        <w:rPr>
          <w:rFonts w:ascii="Calibri" w:eastAsia="Calibri" w:hAnsi="Calibri" w:cs="Calibri"/>
          <w:sz w:val="24"/>
          <w:szCs w:val="24"/>
        </w:rPr>
        <w:t>the blood</w:t>
      </w:r>
      <w:proofErr w:type="gramEnd"/>
      <w:r>
        <w:rPr>
          <w:rFonts w:ascii="Calibri" w:eastAsia="Calibri" w:hAnsi="Calibri" w:cs="Calibri"/>
          <w:sz w:val="24"/>
          <w:szCs w:val="24"/>
        </w:rPr>
        <w:t xml:space="preserve"> there. It merely reveals what is already present.</w:t>
      </w:r>
    </w:p>
    <w:p w14:paraId="54C4A134" w14:textId="77777777" w:rsidR="00B9601C" w:rsidRDefault="00B9601C"/>
    <w:p w14:paraId="1669354A" w14:textId="77777777" w:rsidR="00B9601C" w:rsidRDefault="00000000">
      <w:r>
        <w:rPr>
          <w:rFonts w:ascii="Calibri" w:eastAsia="Calibri" w:hAnsi="Calibri" w:cs="Calibri"/>
          <w:sz w:val="24"/>
          <w:szCs w:val="24"/>
        </w:rPr>
        <w:lastRenderedPageBreak/>
        <w:t>Later revelation functions the exact same way. It acts as the luminol, allowing us to look back at texts like Psalm 22 and clearly see the intentional typological structure already embedded in the original writing. The journey from the original type to the ultimate antitype is rarely a single uninterrupted leap.</w:t>
      </w:r>
    </w:p>
    <w:p w14:paraId="5D2E12DA" w14:textId="77777777" w:rsidR="00B9601C" w:rsidRDefault="00B9601C"/>
    <w:p w14:paraId="4B960D29" w14:textId="77777777" w:rsidR="00B9601C" w:rsidRDefault="00000000">
      <w:r>
        <w:rPr>
          <w:rFonts w:ascii="Calibri" w:eastAsia="Calibri" w:hAnsi="Calibri" w:cs="Calibri"/>
          <w:sz w:val="24"/>
          <w:szCs w:val="24"/>
        </w:rPr>
        <w:t>This diagram represents multiple historical iterations. Scholars refer to these intermediate expressions of a pattern as ectypes. In Genesis 1, God commands Adam to be fruitful, multiply, and subdue the earth.</w:t>
      </w:r>
    </w:p>
    <w:p w14:paraId="5683C12C" w14:textId="77777777" w:rsidR="00B9601C" w:rsidRDefault="00B9601C"/>
    <w:p w14:paraId="1796A8AD" w14:textId="77777777" w:rsidR="00B9601C" w:rsidRDefault="00000000">
      <w:r>
        <w:rPr>
          <w:rFonts w:ascii="Calibri" w:eastAsia="Calibri" w:hAnsi="Calibri" w:cs="Calibri"/>
          <w:sz w:val="24"/>
          <w:szCs w:val="24"/>
        </w:rPr>
        <w:t>When Noah emerges from the ark in Genesis 9, God repeats this specific pattern, commanding Noah to be fruitful and multiply, while placing the fear of man on the animals. This structural mandate passes through figures like Abraham and David before reaching its final realization in Matthew 28. Christ assumes all authority on earth and issues the Great Commission, commanding his followers to make disciples of all nations.</w:t>
      </w:r>
    </w:p>
    <w:p w14:paraId="09D1B9B6" w14:textId="77777777" w:rsidR="00B9601C" w:rsidRDefault="00B9601C"/>
    <w:p w14:paraId="4DCE2BD2" w14:textId="77777777" w:rsidR="00B9601C" w:rsidRDefault="00000000">
      <w:r>
        <w:rPr>
          <w:rFonts w:ascii="Calibri" w:eastAsia="Calibri" w:hAnsi="Calibri" w:cs="Calibri"/>
          <w:sz w:val="24"/>
          <w:szCs w:val="24"/>
        </w:rPr>
        <w:t>Typological patterns ripple through history. They build structural momentum across multiple figures before culminating in their ultimate antitype. With so much analogy woven into the text, we face a critical boundary problem.</w:t>
      </w:r>
    </w:p>
    <w:p w14:paraId="7973F3AC" w14:textId="77777777" w:rsidR="00B9601C" w:rsidRDefault="00B9601C"/>
    <w:p w14:paraId="70580C43" w14:textId="77777777" w:rsidR="00B9601C" w:rsidRDefault="00000000">
      <w:r>
        <w:rPr>
          <w:rFonts w:ascii="Calibri" w:eastAsia="Calibri" w:hAnsi="Calibri" w:cs="Calibri"/>
          <w:sz w:val="24"/>
          <w:szCs w:val="24"/>
        </w:rPr>
        <w:t>What stops us from turning every minor similarity into a typological pattern? This matrix isolates the strict differences between the three main forms of scriptural analogy. The extended echo effect repeats narrative structures for literary impact, like Abraham lying to protect his wife Sarah and his son Isaac later doing the exact same thing. The echo effect is a valid literary analogy, but lacks the structural escalation required for typology.</w:t>
      </w:r>
    </w:p>
    <w:p w14:paraId="7CDB4D10" w14:textId="77777777" w:rsidR="00B9601C" w:rsidRDefault="00B9601C"/>
    <w:p w14:paraId="04286038" w14:textId="77777777" w:rsidR="00B9601C" w:rsidRDefault="00000000">
      <w:r>
        <w:rPr>
          <w:rFonts w:ascii="Calibri" w:eastAsia="Calibri" w:hAnsi="Calibri" w:cs="Calibri"/>
          <w:sz w:val="24"/>
          <w:szCs w:val="24"/>
        </w:rPr>
        <w:t>On the far end of the spectrum is allegory. Writer Philo frequently interpreted Genesis as symbols for the soul's struggle for virtue over vice. This approach strips away the original historical context entirely, squeezing every detail of the text for hidden spiritual significance.</w:t>
      </w:r>
    </w:p>
    <w:p w14:paraId="1BFFEC22" w14:textId="77777777" w:rsidR="00B9601C" w:rsidRDefault="00B9601C"/>
    <w:p w14:paraId="44129923" w14:textId="77777777" w:rsidR="00B9601C" w:rsidRDefault="00000000">
      <w:r>
        <w:rPr>
          <w:rFonts w:ascii="Calibri" w:eastAsia="Calibri" w:hAnsi="Calibri" w:cs="Calibri"/>
          <w:sz w:val="24"/>
          <w:szCs w:val="24"/>
        </w:rPr>
        <w:t>Typology draws its meaning out of historical structure and explicit escalation. Allegory forces an external philosophical framework down onto the micro-details of a text. True typology operates at the macro level of structures and institutions.</w:t>
      </w:r>
    </w:p>
    <w:p w14:paraId="1889A3D1" w14:textId="77777777" w:rsidR="00B9601C" w:rsidRDefault="00B9601C"/>
    <w:p w14:paraId="735E4311" w14:textId="77777777" w:rsidR="00B9601C" w:rsidRDefault="00000000">
      <w:r>
        <w:rPr>
          <w:rFonts w:ascii="Calibri" w:eastAsia="Calibri" w:hAnsi="Calibri" w:cs="Calibri"/>
          <w:sz w:val="24"/>
          <w:szCs w:val="24"/>
        </w:rPr>
        <w:t>It is found in historical escalation, not in matching the color of an object in the Old Testament to a detail in the New Testament. Some implicit typological patterns are never explicitly named. Joshua leading God's people into a physical inheritance structurally anticipates Christ securing a final inheritance.</w:t>
      </w:r>
    </w:p>
    <w:p w14:paraId="023FE195" w14:textId="77777777" w:rsidR="00B9601C" w:rsidRDefault="00B9601C"/>
    <w:p w14:paraId="67BDD516" w14:textId="0BF07B19" w:rsidR="00B9601C" w:rsidRDefault="00000000">
      <w:r>
        <w:rPr>
          <w:rFonts w:ascii="Calibri" w:eastAsia="Calibri" w:hAnsi="Calibri" w:cs="Calibri"/>
          <w:sz w:val="24"/>
          <w:szCs w:val="24"/>
        </w:rPr>
        <w:t xml:space="preserve">We can identify these implicit patterns, but we must use rigorous frameworks, </w:t>
      </w:r>
      <w:proofErr w:type="gramStart"/>
      <w:r>
        <w:rPr>
          <w:rFonts w:ascii="Calibri" w:eastAsia="Calibri" w:hAnsi="Calibri" w:cs="Calibri"/>
          <w:sz w:val="24"/>
          <w:szCs w:val="24"/>
        </w:rPr>
        <w:t>testing for</w:t>
      </w:r>
      <w:proofErr w:type="gramEnd"/>
      <w:r>
        <w:rPr>
          <w:rFonts w:ascii="Calibri" w:eastAsia="Calibri" w:hAnsi="Calibri" w:cs="Calibri"/>
          <w:sz w:val="24"/>
          <w:szCs w:val="24"/>
        </w:rPr>
        <w:t xml:space="preserve"> historical reality, requiring strict selective analogy, and demanding clear escalation. When </w:t>
      </w:r>
      <w:r w:rsidR="000A60EF">
        <w:rPr>
          <w:rFonts w:ascii="Calibri" w:eastAsia="Calibri" w:hAnsi="Calibri" w:cs="Calibri"/>
          <w:sz w:val="24"/>
          <w:szCs w:val="24"/>
        </w:rPr>
        <w:t>Scripture</w:t>
      </w:r>
      <w:r>
        <w:rPr>
          <w:rFonts w:ascii="Calibri" w:eastAsia="Calibri" w:hAnsi="Calibri" w:cs="Calibri"/>
          <w:sz w:val="24"/>
          <w:szCs w:val="24"/>
        </w:rPr>
        <w:t xml:space="preserve"> does not explicitly identify a type, we are required to exercise exegetical humility. We follow the structure where it leads, and we hold our conclusions with an academically responsible, loose grip.</w:t>
      </w:r>
    </w:p>
    <w:sectPr w:rsidR="00B9601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CEF23" w14:textId="77777777" w:rsidR="00B72616" w:rsidRDefault="00B72616" w:rsidP="000A60EF">
      <w:r>
        <w:separator/>
      </w:r>
    </w:p>
  </w:endnote>
  <w:endnote w:type="continuationSeparator" w:id="0">
    <w:p w14:paraId="2B124DBA" w14:textId="77777777" w:rsidR="00B72616" w:rsidRDefault="00B72616" w:rsidP="000A6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3C4F3" w14:textId="77777777" w:rsidR="00B72616" w:rsidRDefault="00B72616" w:rsidP="000A60EF">
      <w:r>
        <w:separator/>
      </w:r>
    </w:p>
  </w:footnote>
  <w:footnote w:type="continuationSeparator" w:id="0">
    <w:p w14:paraId="1AD32197" w14:textId="77777777" w:rsidR="00B72616" w:rsidRDefault="00B72616" w:rsidP="000A6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839749"/>
      <w:docPartObj>
        <w:docPartGallery w:val="Page Numbers (Top of Page)"/>
        <w:docPartUnique/>
      </w:docPartObj>
    </w:sdtPr>
    <w:sdtEndPr>
      <w:rPr>
        <w:noProof/>
      </w:rPr>
    </w:sdtEndPr>
    <w:sdtContent>
      <w:p w14:paraId="10F01B26" w14:textId="04085214" w:rsidR="000A60EF" w:rsidRDefault="000A60E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3C98D3C" w14:textId="77777777" w:rsidR="000A60EF" w:rsidRDefault="000A60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A5383"/>
    <w:multiLevelType w:val="hybridMultilevel"/>
    <w:tmpl w:val="4A3E9A70"/>
    <w:lvl w:ilvl="0" w:tplc="4BD8F478">
      <w:start w:val="1"/>
      <w:numFmt w:val="bullet"/>
      <w:lvlText w:val="●"/>
      <w:lvlJc w:val="left"/>
      <w:pPr>
        <w:ind w:left="720" w:hanging="360"/>
      </w:pPr>
    </w:lvl>
    <w:lvl w:ilvl="1" w:tplc="673E4F28">
      <w:start w:val="1"/>
      <w:numFmt w:val="bullet"/>
      <w:lvlText w:val="○"/>
      <w:lvlJc w:val="left"/>
      <w:pPr>
        <w:ind w:left="1440" w:hanging="360"/>
      </w:pPr>
    </w:lvl>
    <w:lvl w:ilvl="2" w:tplc="010EDB06">
      <w:start w:val="1"/>
      <w:numFmt w:val="bullet"/>
      <w:lvlText w:val="■"/>
      <w:lvlJc w:val="left"/>
      <w:pPr>
        <w:ind w:left="2160" w:hanging="360"/>
      </w:pPr>
    </w:lvl>
    <w:lvl w:ilvl="3" w:tplc="21D69988">
      <w:start w:val="1"/>
      <w:numFmt w:val="bullet"/>
      <w:lvlText w:val="●"/>
      <w:lvlJc w:val="left"/>
      <w:pPr>
        <w:ind w:left="2880" w:hanging="360"/>
      </w:pPr>
    </w:lvl>
    <w:lvl w:ilvl="4" w:tplc="71765396">
      <w:start w:val="1"/>
      <w:numFmt w:val="bullet"/>
      <w:lvlText w:val="○"/>
      <w:lvlJc w:val="left"/>
      <w:pPr>
        <w:ind w:left="3600" w:hanging="360"/>
      </w:pPr>
    </w:lvl>
    <w:lvl w:ilvl="5" w:tplc="F6D4C094">
      <w:start w:val="1"/>
      <w:numFmt w:val="bullet"/>
      <w:lvlText w:val="■"/>
      <w:lvlJc w:val="left"/>
      <w:pPr>
        <w:ind w:left="4320" w:hanging="360"/>
      </w:pPr>
    </w:lvl>
    <w:lvl w:ilvl="6" w:tplc="7AA45972">
      <w:start w:val="1"/>
      <w:numFmt w:val="bullet"/>
      <w:lvlText w:val="●"/>
      <w:lvlJc w:val="left"/>
      <w:pPr>
        <w:ind w:left="5040" w:hanging="360"/>
      </w:pPr>
    </w:lvl>
    <w:lvl w:ilvl="7" w:tplc="CE08B1B0">
      <w:start w:val="1"/>
      <w:numFmt w:val="bullet"/>
      <w:lvlText w:val="●"/>
      <w:lvlJc w:val="left"/>
      <w:pPr>
        <w:ind w:left="5760" w:hanging="360"/>
      </w:pPr>
    </w:lvl>
    <w:lvl w:ilvl="8" w:tplc="3A0EB908">
      <w:start w:val="1"/>
      <w:numFmt w:val="bullet"/>
      <w:lvlText w:val="●"/>
      <w:lvlJc w:val="left"/>
      <w:pPr>
        <w:ind w:left="6480" w:hanging="360"/>
      </w:pPr>
    </w:lvl>
  </w:abstractNum>
  <w:num w:numId="1" w16cid:durableId="165873018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01C"/>
    <w:rsid w:val="000A60EF"/>
    <w:rsid w:val="00B10D43"/>
    <w:rsid w:val="00B72616"/>
    <w:rsid w:val="00B960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63FDB"/>
  <w15:docId w15:val="{548D050E-BC41-4753-8F22-FB2781E3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A60EF"/>
    <w:pPr>
      <w:tabs>
        <w:tab w:val="center" w:pos="4680"/>
        <w:tab w:val="right" w:pos="9360"/>
      </w:tabs>
    </w:pPr>
  </w:style>
  <w:style w:type="character" w:customStyle="1" w:styleId="HeaderChar">
    <w:name w:val="Header Char"/>
    <w:basedOn w:val="DefaultParagraphFont"/>
    <w:link w:val="Header"/>
    <w:uiPriority w:val="99"/>
    <w:rsid w:val="000A60EF"/>
  </w:style>
  <w:style w:type="paragraph" w:styleId="Footer">
    <w:name w:val="footer"/>
    <w:basedOn w:val="Normal"/>
    <w:link w:val="FooterChar"/>
    <w:uiPriority w:val="99"/>
    <w:unhideWhenUsed/>
    <w:rsid w:val="000A60EF"/>
    <w:pPr>
      <w:tabs>
        <w:tab w:val="center" w:pos="4680"/>
        <w:tab w:val="right" w:pos="9360"/>
      </w:tabs>
    </w:pPr>
  </w:style>
  <w:style w:type="character" w:customStyle="1" w:styleId="FooterChar">
    <w:name w:val="Footer Char"/>
    <w:basedOn w:val="DefaultParagraphFont"/>
    <w:link w:val="Footer"/>
    <w:uiPriority w:val="99"/>
    <w:rsid w:val="000A6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1293</Words>
  <Characters>7376</Characters>
  <Application>Microsoft Office Word</Application>
  <DocSecurity>0</DocSecurity>
  <Lines>61</Lines>
  <Paragraphs>17</Paragraphs>
  <ScaleCrop>false</ScaleCrop>
  <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BiB 03 6 Min Video Overview</dc:title>
  <dc:creator>TurboScribe</dc:creator>
  <cp:lastModifiedBy>Ted Hildebrandt</cp:lastModifiedBy>
  <cp:revision>2</cp:revision>
  <dcterms:created xsi:type="dcterms:W3CDTF">2026-08-11T06:58:00Z</dcterms:created>
  <dcterms:modified xsi:type="dcterms:W3CDTF">2026-08-15T17:18:00Z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763f7466-299b-4667-9366-e31319817e52</vt:lpwstr>
  </property>
</Properties>
</file>