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D89D" w14:textId="3A11BA23" w:rsidR="00CB6088" w:rsidRDefault="00000000" w:rsidP="00E72CBE">
      <w:pPr>
        <w:jc w:val="center"/>
      </w:pPr>
      <w:r>
        <w:rPr>
          <w:rFonts w:ascii="Calibri" w:eastAsia="Calibri" w:hAnsi="Calibri" w:cs="Calibri"/>
          <w:b/>
          <w:bCs/>
          <w:sz w:val="42"/>
          <w:szCs w:val="42"/>
        </w:rPr>
        <w:t>Dr</w:t>
      </w:r>
      <w:r w:rsidR="00E72CBE">
        <w:rPr>
          <w:rFonts w:ascii="Calibri" w:eastAsia="Calibri" w:hAnsi="Calibri" w:cs="Calibri"/>
          <w:b/>
          <w:bCs/>
          <w:sz w:val="42"/>
          <w:szCs w:val="42"/>
        </w:rPr>
        <w:t>.</w:t>
      </w:r>
      <w:r>
        <w:rPr>
          <w:rFonts w:ascii="Calibri" w:eastAsia="Calibri" w:hAnsi="Calibri" w:cs="Calibri"/>
          <w:b/>
          <w:bCs/>
          <w:sz w:val="42"/>
          <w:szCs w:val="42"/>
        </w:rPr>
        <w:t xml:space="preserve"> John Walton</w:t>
      </w:r>
      <w:r w:rsidR="00E72CBE">
        <w:rPr>
          <w:rFonts w:ascii="Calibri" w:eastAsia="Calibri" w:hAnsi="Calibri" w:cs="Calibri"/>
          <w:b/>
          <w:bCs/>
          <w:sz w:val="42"/>
          <w:szCs w:val="42"/>
        </w:rPr>
        <w:t>,</w:t>
      </w:r>
      <w:r>
        <w:rPr>
          <w:rFonts w:ascii="Calibri" w:eastAsia="Calibri" w:hAnsi="Calibri" w:cs="Calibri"/>
          <w:b/>
          <w:bCs/>
          <w:sz w:val="42"/>
          <w:szCs w:val="42"/>
        </w:rPr>
        <w:t xml:space="preserve"> Job</w:t>
      </w:r>
      <w:r w:rsidR="00E72CBE">
        <w:rPr>
          <w:rFonts w:ascii="Calibri" w:eastAsia="Calibri" w:hAnsi="Calibri" w:cs="Calibri"/>
          <w:b/>
          <w:bCs/>
          <w:sz w:val="42"/>
          <w:szCs w:val="42"/>
        </w:rPr>
        <w:t>,</w:t>
      </w:r>
      <w:r>
        <w:rPr>
          <w:rFonts w:ascii="Calibri" w:eastAsia="Calibri" w:hAnsi="Calibri" w:cs="Calibri"/>
          <w:b/>
          <w:bCs/>
          <w:sz w:val="42"/>
          <w:szCs w:val="42"/>
        </w:rPr>
        <w:t xml:space="preserve"> Session 1</w:t>
      </w:r>
      <w:r w:rsidR="00E72CBE">
        <w:rPr>
          <w:rFonts w:ascii="Calibri" w:eastAsia="Calibri" w:hAnsi="Calibri" w:cs="Calibri"/>
          <w:b/>
          <w:bCs/>
          <w:sz w:val="42"/>
          <w:szCs w:val="42"/>
        </w:rPr>
        <w:t>,</w:t>
      </w:r>
      <w:r w:rsidR="00E72CBE">
        <w:rPr>
          <w:rFonts w:ascii="Calibri" w:eastAsia="Calibri" w:hAnsi="Calibri" w:cs="Calibri"/>
          <w:b/>
          <w:bCs/>
          <w:sz w:val="42"/>
          <w:szCs w:val="42"/>
        </w:rPr>
        <w:br/>
      </w:r>
      <w:r w:rsidR="00E72CBE">
        <w:rPr>
          <w:rFonts w:ascii="Calibri" w:eastAsia="Calibri" w:hAnsi="Calibri" w:cs="Calibri"/>
          <w:b/>
          <w:bCs/>
          <w:sz w:val="42"/>
          <w:szCs w:val="42"/>
        </w:rPr>
        <w:t>6-min. Video Overview</w:t>
      </w:r>
      <w:r w:rsidR="00E72CBE">
        <w:rPr>
          <w:rFonts w:ascii="Calibri" w:eastAsia="Calibri" w:hAnsi="Calibri" w:cs="Calibri"/>
          <w:b/>
          <w:bCs/>
          <w:sz w:val="42"/>
          <w:szCs w:val="42"/>
        </w:rPr>
        <w:br/>
      </w:r>
      <w:r w:rsidR="00E72CBE" w:rsidRPr="00AD39B1">
        <w:rPr>
          <w:rFonts w:ascii="Calibri" w:eastAsia="Calibri" w:hAnsi="Calibri" w:cs="Calibri"/>
          <w:sz w:val="28"/>
          <w:szCs w:val="28"/>
        </w:rPr>
        <w:t>BiblicaleLearning.org by Ted Hildebrandt</w:t>
      </w:r>
      <w:r w:rsidR="00E72CBE">
        <w:rPr>
          <w:rFonts w:ascii="Calibri" w:eastAsia="Calibri" w:hAnsi="Calibri" w:cs="Calibri"/>
          <w:b/>
          <w:bCs/>
          <w:sz w:val="42"/>
          <w:szCs w:val="42"/>
        </w:rPr>
        <w:br/>
      </w:r>
    </w:p>
    <w:p w14:paraId="6CD2C491" w14:textId="77777777" w:rsidR="00CB6088" w:rsidRDefault="00000000">
      <w:r>
        <w:rPr>
          <w:rFonts w:ascii="Calibri" w:eastAsia="Calibri" w:hAnsi="Calibri" w:cs="Calibri"/>
          <w:sz w:val="24"/>
          <w:szCs w:val="24"/>
        </w:rPr>
        <w:t>Modern readers often approach the ancient book of Job as a formulaic, step-by-step guide to understanding human suffering. This approach leads to a specific kind of disappointment. After following Job through his trials, God's eventual response from the whirlwind offers no direct explanations for the pain endured.</w:t>
      </w:r>
    </w:p>
    <w:p w14:paraId="6CCBDE17" w14:textId="77777777" w:rsidR="00CB6088" w:rsidRDefault="00CB6088"/>
    <w:p w14:paraId="64141C74" w14:textId="7BFF81F8" w:rsidR="00CB6088" w:rsidRDefault="00000000">
      <w:r>
        <w:rPr>
          <w:rFonts w:ascii="Calibri" w:eastAsia="Calibri" w:hAnsi="Calibri" w:cs="Calibri"/>
          <w:sz w:val="24"/>
          <w:szCs w:val="24"/>
        </w:rPr>
        <w:t xml:space="preserve">This friction begins at the linguistic level. The Hebrew syntax in Job is the most irregular and difficult found in the Old Testament. It is a complex text saturated with </w:t>
      </w:r>
      <w:r w:rsidR="00E72CBE">
        <w:rPr>
          <w:rFonts w:ascii="Calibri" w:eastAsia="Calibri" w:hAnsi="Calibri" w:cs="Calibri"/>
          <w:sz w:val="24"/>
          <w:szCs w:val="24"/>
        </w:rPr>
        <w:t>hapax</w:t>
      </w:r>
      <w:r>
        <w:rPr>
          <w:rFonts w:ascii="Calibri" w:eastAsia="Calibri" w:hAnsi="Calibri" w:cs="Calibri"/>
          <w:sz w:val="24"/>
          <w:szCs w:val="24"/>
        </w:rPr>
        <w:t xml:space="preserve"> legomena, words that appear once in the entire Hebrew Bible and nowhere else.</w:t>
      </w:r>
    </w:p>
    <w:p w14:paraId="729470F8" w14:textId="77777777" w:rsidR="00CB6088" w:rsidRDefault="00CB6088"/>
    <w:p w14:paraId="43BECA56" w14:textId="77777777" w:rsidR="00CB6088" w:rsidRDefault="00000000">
      <w:r>
        <w:rPr>
          <w:rFonts w:ascii="Calibri" w:eastAsia="Calibri" w:hAnsi="Calibri" w:cs="Calibri"/>
          <w:sz w:val="24"/>
          <w:szCs w:val="24"/>
        </w:rPr>
        <w:t>The author utilized this difficult language to mirror the disorienting experience of the protagonist. Grasping the book's intent requires setting aside the assumption that it is meant to be human-centered. The frustration readers feel often stems from a mismatch between expectations and the book's actual design.</w:t>
      </w:r>
    </w:p>
    <w:p w14:paraId="096522FB" w14:textId="77777777" w:rsidR="00CB6088" w:rsidRDefault="00CB6088"/>
    <w:p w14:paraId="07FBB394" w14:textId="77777777" w:rsidR="00CB6088" w:rsidRDefault="00000000">
      <w:r>
        <w:rPr>
          <w:rFonts w:ascii="Calibri" w:eastAsia="Calibri" w:hAnsi="Calibri" w:cs="Calibri"/>
          <w:sz w:val="24"/>
          <w:szCs w:val="24"/>
        </w:rPr>
        <w:t xml:space="preserve">We are asking the text to provide a solution it was never built to produce. The structure identifies the work as ancient Near Eastern wisdom literature, distinct from historical biography or </w:t>
      </w:r>
      <w:proofErr w:type="gramStart"/>
      <w:r>
        <w:rPr>
          <w:rFonts w:ascii="Calibri" w:eastAsia="Calibri" w:hAnsi="Calibri" w:cs="Calibri"/>
          <w:sz w:val="24"/>
          <w:szCs w:val="24"/>
        </w:rPr>
        <w:t>a standard</w:t>
      </w:r>
      <w:proofErr w:type="gramEnd"/>
      <w:r>
        <w:rPr>
          <w:rFonts w:ascii="Calibri" w:eastAsia="Calibri" w:hAnsi="Calibri" w:cs="Calibri"/>
          <w:sz w:val="24"/>
          <w:szCs w:val="24"/>
        </w:rPr>
        <w:t xml:space="preserve"> legal defense. An accurate reading requires shifting focus from the human condition to the nature of the divine.</w:t>
      </w:r>
    </w:p>
    <w:p w14:paraId="5E24F7AD" w14:textId="77777777" w:rsidR="00CB6088" w:rsidRDefault="00CB6088"/>
    <w:p w14:paraId="4B3E898E" w14:textId="77777777" w:rsidR="00CB6088" w:rsidRDefault="00000000">
      <w:r>
        <w:rPr>
          <w:rFonts w:ascii="Calibri" w:eastAsia="Calibri" w:hAnsi="Calibri" w:cs="Calibri"/>
          <w:sz w:val="24"/>
          <w:szCs w:val="24"/>
        </w:rPr>
        <w:t>We will move through this analysis by examining six pervasive misconceptions held by scholars and laypeople. These six fallacies involve false assumptions about human justice, the specific purpose of suffering, and how God operates in the world. Stripping away these six premises allows the underlying theological structure of the book to become visible.</w:t>
      </w:r>
    </w:p>
    <w:p w14:paraId="392FE108" w14:textId="77777777" w:rsidR="00CB6088" w:rsidRDefault="00CB6088"/>
    <w:p w14:paraId="7CD8BE94" w14:textId="77777777" w:rsidR="00CB6088" w:rsidRDefault="00000000">
      <w:r>
        <w:rPr>
          <w:rFonts w:ascii="Calibri" w:eastAsia="Calibri" w:hAnsi="Calibri" w:cs="Calibri"/>
          <w:sz w:val="24"/>
          <w:szCs w:val="24"/>
        </w:rPr>
        <w:t>The first fallacy assumes that Job is on trial for his conduct. Job views his situation as a criminal defendant, being punished for a crime he didn't commit. Later, he attempts to pivot, demanding God account for the mistreatment as a civil plaintiff.</w:t>
      </w:r>
    </w:p>
    <w:p w14:paraId="22142955" w14:textId="77777777" w:rsidR="00CB6088" w:rsidRDefault="00CB6088"/>
    <w:p w14:paraId="7A825534" w14:textId="77777777" w:rsidR="00CB6088" w:rsidRDefault="00000000">
      <w:r>
        <w:rPr>
          <w:rFonts w:ascii="Calibri" w:eastAsia="Calibri" w:hAnsi="Calibri" w:cs="Calibri"/>
          <w:sz w:val="24"/>
          <w:szCs w:val="24"/>
        </w:rPr>
        <w:t xml:space="preserve">The reader, however, sees a different reality. In </w:t>
      </w:r>
      <w:proofErr w:type="gramStart"/>
      <w:r>
        <w:rPr>
          <w:rFonts w:ascii="Calibri" w:eastAsia="Calibri" w:hAnsi="Calibri" w:cs="Calibri"/>
          <w:sz w:val="24"/>
          <w:szCs w:val="24"/>
        </w:rPr>
        <w:t>the actual</w:t>
      </w:r>
      <w:proofErr w:type="gramEnd"/>
      <w:r>
        <w:rPr>
          <w:rFonts w:ascii="Calibri" w:eastAsia="Calibri" w:hAnsi="Calibri" w:cs="Calibri"/>
          <w:sz w:val="24"/>
          <w:szCs w:val="24"/>
        </w:rPr>
        <w:t xml:space="preserve"> celestial proceedings, his role is a star witness for the defense. The second fallacy suggests the book is primarily about the man Job, because it bears his name.</w:t>
      </w:r>
    </w:p>
    <w:p w14:paraId="750B95FC" w14:textId="77777777" w:rsidR="00CB6088" w:rsidRDefault="00CB6088"/>
    <w:p w14:paraId="5885EC8A" w14:textId="77777777" w:rsidR="00CB6088" w:rsidRDefault="00000000">
      <w:r>
        <w:rPr>
          <w:rFonts w:ascii="Calibri" w:eastAsia="Calibri" w:hAnsi="Calibri" w:cs="Calibri"/>
          <w:sz w:val="24"/>
          <w:szCs w:val="24"/>
        </w:rPr>
        <w:t>Job is not presented as a perfect role model for patience. His words are often desperate, erratic, and accusatory. The text centers on God.</w:t>
      </w:r>
    </w:p>
    <w:p w14:paraId="24D05E0D" w14:textId="77777777" w:rsidR="00CB6088" w:rsidRDefault="00CB6088"/>
    <w:p w14:paraId="68B4CC1F" w14:textId="77777777" w:rsidR="00CB6088" w:rsidRDefault="00000000">
      <w:r>
        <w:rPr>
          <w:rFonts w:ascii="Calibri" w:eastAsia="Calibri" w:hAnsi="Calibri" w:cs="Calibri"/>
          <w:sz w:val="24"/>
          <w:szCs w:val="24"/>
        </w:rPr>
        <w:t>Job is the character through whom the nature of the divine is explored. Focusing on Job's resilience misses the book's intent, a demonstration of how God governs the world. The third misconception is the belief that the book seeks to defend God's justice.</w:t>
      </w:r>
    </w:p>
    <w:p w14:paraId="7B07B253" w14:textId="77777777" w:rsidR="00CB6088" w:rsidRDefault="00CB6088"/>
    <w:p w14:paraId="71511E06" w14:textId="77777777" w:rsidR="00CB6088" w:rsidRDefault="00000000">
      <w:r>
        <w:rPr>
          <w:rFonts w:ascii="Calibri" w:eastAsia="Calibri" w:hAnsi="Calibri" w:cs="Calibri"/>
          <w:sz w:val="24"/>
          <w:szCs w:val="24"/>
        </w:rPr>
        <w:t xml:space="preserve">When God finally answers from the whirlwind, he never explains the events in terms of justice or fairness. Humans often define justice as a predictable formula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reward and punishment. This implies a theological problem.</w:t>
      </w:r>
    </w:p>
    <w:p w14:paraId="4FF9C065" w14:textId="77777777" w:rsidR="00CB6088" w:rsidRDefault="00CB6088"/>
    <w:p w14:paraId="3B56B20B" w14:textId="77777777" w:rsidR="00CB6088" w:rsidRDefault="00000000">
      <w:r>
        <w:rPr>
          <w:rFonts w:ascii="Calibri" w:eastAsia="Calibri" w:hAnsi="Calibri" w:cs="Calibri"/>
          <w:sz w:val="24"/>
          <w:szCs w:val="24"/>
        </w:rPr>
        <w:lastRenderedPageBreak/>
        <w:t>If God is just by a human standard, that standard is a power superior to God. The book avoids this by suggesting justice is not a standard God must meet, but an attribute that flows from him. He is the source, not the subject.</w:t>
      </w:r>
    </w:p>
    <w:p w14:paraId="07F91130" w14:textId="77777777" w:rsidR="00CB6088" w:rsidRDefault="00CB6088"/>
    <w:p w14:paraId="791512F6" w14:textId="77777777" w:rsidR="00CB6088" w:rsidRDefault="00000000">
      <w:r>
        <w:rPr>
          <w:rFonts w:ascii="Calibri" w:eastAsia="Calibri" w:hAnsi="Calibri" w:cs="Calibri"/>
          <w:sz w:val="24"/>
          <w:szCs w:val="24"/>
        </w:rPr>
        <w:t>Executing justice requires absolute information, every fact, motive, and consequence. Human observers never possess this total data set. Because we lack the data and God is the source of the standard, the book moves past the defense of justice entirely.</w:t>
      </w:r>
    </w:p>
    <w:p w14:paraId="38854DDF" w14:textId="77777777" w:rsidR="00CB6088" w:rsidRDefault="00CB6088"/>
    <w:p w14:paraId="6D092A11" w14:textId="77777777" w:rsidR="00CB6088" w:rsidRDefault="00000000">
      <w:r>
        <w:rPr>
          <w:rFonts w:ascii="Calibri" w:eastAsia="Calibri" w:hAnsi="Calibri" w:cs="Calibri"/>
          <w:sz w:val="24"/>
          <w:szCs w:val="24"/>
        </w:rPr>
        <w:t xml:space="preserve">The text defends God's wisdom. Can we rely on </w:t>
      </w:r>
      <w:proofErr w:type="gramStart"/>
      <w:r>
        <w:rPr>
          <w:rFonts w:ascii="Calibri" w:eastAsia="Calibri" w:hAnsi="Calibri" w:cs="Calibri"/>
          <w:sz w:val="24"/>
          <w:szCs w:val="24"/>
        </w:rPr>
        <w:t>his</w:t>
      </w:r>
      <w:proofErr w:type="gramEnd"/>
      <w:r>
        <w:rPr>
          <w:rFonts w:ascii="Calibri" w:eastAsia="Calibri" w:hAnsi="Calibri" w:cs="Calibri"/>
          <w:sz w:val="24"/>
          <w:szCs w:val="24"/>
        </w:rPr>
        <w:t xml:space="preserve"> management of the world when the mechanics of his justice remain unseen? Reducing God to a simple administrator of justice turns him into a predictable machine. Elevating his wisdom acknowledges his sovereignty over things we cannot comprehend.</w:t>
      </w:r>
    </w:p>
    <w:p w14:paraId="139FC803" w14:textId="77777777" w:rsidR="00CB6088" w:rsidRDefault="00CB6088"/>
    <w:p w14:paraId="73C8DC0D" w14:textId="77777777" w:rsidR="00CB6088" w:rsidRDefault="00000000">
      <w:r>
        <w:rPr>
          <w:rFonts w:ascii="Calibri" w:eastAsia="Calibri" w:hAnsi="Calibri" w:cs="Calibri"/>
          <w:sz w:val="24"/>
          <w:szCs w:val="24"/>
        </w:rPr>
        <w:t xml:space="preserve">Fallacies four and five expect the text to provide a method for processing pain, or a direct </w:t>
      </w:r>
      <w:proofErr w:type="gramStart"/>
      <w:r>
        <w:rPr>
          <w:rFonts w:ascii="Calibri" w:eastAsia="Calibri" w:hAnsi="Calibri" w:cs="Calibri"/>
          <w:sz w:val="24"/>
          <w:szCs w:val="24"/>
        </w:rPr>
        <w:t>why</w:t>
      </w:r>
      <w:proofErr w:type="gramEnd"/>
      <w:r>
        <w:rPr>
          <w:rFonts w:ascii="Calibri" w:eastAsia="Calibri" w:hAnsi="Calibri" w:cs="Calibri"/>
          <w:sz w:val="24"/>
          <w:szCs w:val="24"/>
        </w:rPr>
        <w:t xml:space="preserve"> for our suffering. The author provides no such answers. The silence on the cause of suffering is intentional.</w:t>
      </w:r>
    </w:p>
    <w:p w14:paraId="7BAECB11" w14:textId="77777777" w:rsidR="00CB6088" w:rsidRDefault="00CB6088"/>
    <w:p w14:paraId="7BB13E30" w14:textId="77777777" w:rsidR="00CB6088" w:rsidRDefault="00000000">
      <w:r>
        <w:rPr>
          <w:rFonts w:ascii="Calibri" w:eastAsia="Calibri" w:hAnsi="Calibri" w:cs="Calibri"/>
          <w:sz w:val="24"/>
          <w:szCs w:val="24"/>
        </w:rPr>
        <w:t xml:space="preserve">The book shifts the question from, why is this happening? To, how do I think about God while this is happening? Trust is only truly exercised when answers are absent. To have the explanation is to no longer need </w:t>
      </w:r>
      <w:proofErr w:type="gramStart"/>
      <w:r>
        <w:rPr>
          <w:rFonts w:ascii="Calibri" w:eastAsia="Calibri" w:hAnsi="Calibri" w:cs="Calibri"/>
          <w:sz w:val="24"/>
          <w:szCs w:val="24"/>
        </w:rPr>
        <w:t>the trust</w:t>
      </w:r>
      <w:proofErr w:type="gramEnd"/>
      <w:r>
        <w:rPr>
          <w:rFonts w:ascii="Calibri" w:eastAsia="Calibri" w:hAnsi="Calibri" w:cs="Calibri"/>
          <w:sz w:val="24"/>
          <w:szCs w:val="24"/>
        </w:rPr>
        <w:t>. The final fallacy is the belief that the central question is, why do the righteous suffer? The actual question that drives the narrative appears in the first chapter.</w:t>
      </w:r>
    </w:p>
    <w:p w14:paraId="59ABB0BF" w14:textId="77777777" w:rsidR="00CB6088" w:rsidRDefault="00CB6088"/>
    <w:p w14:paraId="2AA86C39" w14:textId="77777777" w:rsidR="00CB6088" w:rsidRDefault="00000000">
      <w:r>
        <w:rPr>
          <w:rFonts w:ascii="Calibri" w:eastAsia="Calibri" w:hAnsi="Calibri" w:cs="Calibri"/>
          <w:sz w:val="24"/>
          <w:szCs w:val="24"/>
        </w:rPr>
        <w:t xml:space="preserve">Does Job serve God for nothing? This probes the validity of transactional faith. </w:t>
      </w:r>
      <w:proofErr w:type="gramStart"/>
      <w:r>
        <w:rPr>
          <w:rFonts w:ascii="Calibri" w:eastAsia="Calibri" w:hAnsi="Calibri" w:cs="Calibri"/>
          <w:sz w:val="24"/>
          <w:szCs w:val="24"/>
        </w:rPr>
        <w:t>Righteousness that</w:t>
      </w:r>
      <w:proofErr w:type="gramEnd"/>
      <w:r>
        <w:rPr>
          <w:rFonts w:ascii="Calibri" w:eastAsia="Calibri" w:hAnsi="Calibri" w:cs="Calibri"/>
          <w:sz w:val="24"/>
          <w:szCs w:val="24"/>
        </w:rPr>
        <w:t xml:space="preserve"> is performed only because it expects a payout of prosperity. The narrative functions as a test of motive, probing whether a human will maintain righteousness when all benefits are stripped away.</w:t>
      </w:r>
    </w:p>
    <w:p w14:paraId="1A4CA292" w14:textId="77777777" w:rsidR="00CB6088" w:rsidRDefault="00CB6088"/>
    <w:p w14:paraId="0905890B" w14:textId="77777777" w:rsidR="00CB6088" w:rsidRDefault="00000000">
      <w:r>
        <w:rPr>
          <w:rFonts w:ascii="Calibri" w:eastAsia="Calibri" w:hAnsi="Calibri" w:cs="Calibri"/>
          <w:sz w:val="24"/>
          <w:szCs w:val="24"/>
        </w:rPr>
        <w:t>Suffering serves as the instrumental variable in this text. It is the specific tool used to reveal the heart of the protagonist. If righteousness dissolves the moment prosperity is removed, it is revealed as a simple business transaction.</w:t>
      </w:r>
    </w:p>
    <w:p w14:paraId="346721D8" w14:textId="77777777" w:rsidR="00CB6088" w:rsidRDefault="00CB6088"/>
    <w:p w14:paraId="738A33CE" w14:textId="77777777" w:rsidR="00CB6088" w:rsidRDefault="00000000">
      <w:r>
        <w:rPr>
          <w:rFonts w:ascii="Calibri" w:eastAsia="Calibri" w:hAnsi="Calibri" w:cs="Calibri"/>
          <w:sz w:val="24"/>
          <w:szCs w:val="24"/>
        </w:rPr>
        <w:t>The text clarifies that God is not a vending machine. Our loyalty is due because of who he is, not because of his generosity. This leaves the reader with a difficult demand, maintaining faith when the reward is gone and the reasons are hidden.</w:t>
      </w:r>
    </w:p>
    <w:p w14:paraId="17F26BF6" w14:textId="77777777" w:rsidR="00CB6088" w:rsidRDefault="00CB6088"/>
    <w:p w14:paraId="4A24753D" w14:textId="2A2D6E87" w:rsidR="00CB6088" w:rsidRDefault="00000000">
      <w:r>
        <w:rPr>
          <w:rFonts w:ascii="Calibri" w:eastAsia="Calibri" w:hAnsi="Calibri" w:cs="Calibri"/>
          <w:sz w:val="24"/>
          <w:szCs w:val="24"/>
        </w:rPr>
        <w:t>It requires a move from seeking divine justice in the light to relying on divine wisdom in the dark. The book of Job removes the comforts of transactional religion, leaving a singular, unyielding foundation</w:t>
      </w:r>
      <w:r w:rsidR="00E72CBE">
        <w:rPr>
          <w:rFonts w:ascii="Calibri" w:eastAsia="Calibri" w:hAnsi="Calibri" w:cs="Calibri"/>
          <w:sz w:val="24"/>
          <w:szCs w:val="24"/>
        </w:rPr>
        <w:t>:</w:t>
      </w:r>
      <w:r>
        <w:rPr>
          <w:rFonts w:ascii="Calibri" w:eastAsia="Calibri" w:hAnsi="Calibri" w:cs="Calibri"/>
          <w:sz w:val="24"/>
          <w:szCs w:val="24"/>
        </w:rPr>
        <w:t xml:space="preserve"> the call to trust God simply because he is God.</w:t>
      </w:r>
    </w:p>
    <w:sectPr w:rsidR="00CB608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DA25B" w14:textId="77777777" w:rsidR="00491823" w:rsidRDefault="00491823" w:rsidP="00E72CBE">
      <w:r>
        <w:separator/>
      </w:r>
    </w:p>
  </w:endnote>
  <w:endnote w:type="continuationSeparator" w:id="0">
    <w:p w14:paraId="5C9A02B1" w14:textId="77777777" w:rsidR="00491823" w:rsidRDefault="00491823" w:rsidP="00E72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80A46" w14:textId="77777777" w:rsidR="00491823" w:rsidRDefault="00491823" w:rsidP="00E72CBE">
      <w:r>
        <w:separator/>
      </w:r>
    </w:p>
  </w:footnote>
  <w:footnote w:type="continuationSeparator" w:id="0">
    <w:p w14:paraId="57235D7A" w14:textId="77777777" w:rsidR="00491823" w:rsidRDefault="00491823" w:rsidP="00E72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657883"/>
      <w:docPartObj>
        <w:docPartGallery w:val="Page Numbers (Top of Page)"/>
        <w:docPartUnique/>
      </w:docPartObj>
    </w:sdtPr>
    <w:sdtEndPr>
      <w:rPr>
        <w:noProof/>
      </w:rPr>
    </w:sdtEndPr>
    <w:sdtContent>
      <w:p w14:paraId="18BA3F1F" w14:textId="4CF67473" w:rsidR="00E72CBE" w:rsidRDefault="00E72CB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ED93A86" w14:textId="77777777" w:rsidR="00E72CBE" w:rsidRDefault="00E72C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C2568"/>
    <w:multiLevelType w:val="hybridMultilevel"/>
    <w:tmpl w:val="94ACF3D6"/>
    <w:lvl w:ilvl="0" w:tplc="011CECA2">
      <w:start w:val="1"/>
      <w:numFmt w:val="bullet"/>
      <w:lvlText w:val="●"/>
      <w:lvlJc w:val="left"/>
      <w:pPr>
        <w:ind w:left="720" w:hanging="360"/>
      </w:pPr>
    </w:lvl>
    <w:lvl w:ilvl="1" w:tplc="817CEE7A">
      <w:start w:val="1"/>
      <w:numFmt w:val="bullet"/>
      <w:lvlText w:val="○"/>
      <w:lvlJc w:val="left"/>
      <w:pPr>
        <w:ind w:left="1440" w:hanging="360"/>
      </w:pPr>
    </w:lvl>
    <w:lvl w:ilvl="2" w:tplc="45C4C2EC">
      <w:start w:val="1"/>
      <w:numFmt w:val="bullet"/>
      <w:lvlText w:val="■"/>
      <w:lvlJc w:val="left"/>
      <w:pPr>
        <w:ind w:left="2160" w:hanging="360"/>
      </w:pPr>
    </w:lvl>
    <w:lvl w:ilvl="3" w:tplc="83502254">
      <w:start w:val="1"/>
      <w:numFmt w:val="bullet"/>
      <w:lvlText w:val="●"/>
      <w:lvlJc w:val="left"/>
      <w:pPr>
        <w:ind w:left="2880" w:hanging="360"/>
      </w:pPr>
    </w:lvl>
    <w:lvl w:ilvl="4" w:tplc="707CE23E">
      <w:start w:val="1"/>
      <w:numFmt w:val="bullet"/>
      <w:lvlText w:val="○"/>
      <w:lvlJc w:val="left"/>
      <w:pPr>
        <w:ind w:left="3600" w:hanging="360"/>
      </w:pPr>
    </w:lvl>
    <w:lvl w:ilvl="5" w:tplc="2B12DE44">
      <w:start w:val="1"/>
      <w:numFmt w:val="bullet"/>
      <w:lvlText w:val="■"/>
      <w:lvlJc w:val="left"/>
      <w:pPr>
        <w:ind w:left="4320" w:hanging="360"/>
      </w:pPr>
    </w:lvl>
    <w:lvl w:ilvl="6" w:tplc="7550FB2E">
      <w:start w:val="1"/>
      <w:numFmt w:val="bullet"/>
      <w:lvlText w:val="●"/>
      <w:lvlJc w:val="left"/>
      <w:pPr>
        <w:ind w:left="5040" w:hanging="360"/>
      </w:pPr>
    </w:lvl>
    <w:lvl w:ilvl="7" w:tplc="BCFE16A8">
      <w:start w:val="1"/>
      <w:numFmt w:val="bullet"/>
      <w:lvlText w:val="●"/>
      <w:lvlJc w:val="left"/>
      <w:pPr>
        <w:ind w:left="5760" w:hanging="360"/>
      </w:pPr>
    </w:lvl>
    <w:lvl w:ilvl="8" w:tplc="A73ADD9A">
      <w:start w:val="1"/>
      <w:numFmt w:val="bullet"/>
      <w:lvlText w:val="●"/>
      <w:lvlJc w:val="left"/>
      <w:pPr>
        <w:ind w:left="6480" w:hanging="360"/>
      </w:pPr>
    </w:lvl>
  </w:abstractNum>
  <w:num w:numId="1" w16cid:durableId="10763943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088"/>
    <w:rsid w:val="00491823"/>
    <w:rsid w:val="008E05F3"/>
    <w:rsid w:val="00CB6088"/>
    <w:rsid w:val="00E72C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2F87B"/>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72CBE"/>
    <w:pPr>
      <w:tabs>
        <w:tab w:val="center" w:pos="4680"/>
        <w:tab w:val="right" w:pos="9360"/>
      </w:tabs>
    </w:pPr>
  </w:style>
  <w:style w:type="character" w:customStyle="1" w:styleId="HeaderChar">
    <w:name w:val="Header Char"/>
    <w:basedOn w:val="DefaultParagraphFont"/>
    <w:link w:val="Header"/>
    <w:uiPriority w:val="99"/>
    <w:rsid w:val="00E72CBE"/>
  </w:style>
  <w:style w:type="paragraph" w:styleId="Footer">
    <w:name w:val="footer"/>
    <w:basedOn w:val="Normal"/>
    <w:link w:val="FooterChar"/>
    <w:uiPriority w:val="99"/>
    <w:unhideWhenUsed/>
    <w:rsid w:val="00E72CBE"/>
    <w:pPr>
      <w:tabs>
        <w:tab w:val="center" w:pos="4680"/>
        <w:tab w:val="right" w:pos="9360"/>
      </w:tabs>
    </w:pPr>
  </w:style>
  <w:style w:type="character" w:customStyle="1" w:styleId="FooterChar">
    <w:name w:val="Footer Char"/>
    <w:basedOn w:val="DefaultParagraphFont"/>
    <w:link w:val="Footer"/>
    <w:uiPriority w:val="99"/>
    <w:rsid w:val="00E72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771</Words>
  <Characters>4400</Characters>
  <Application>Microsoft Office Word</Application>
  <DocSecurity>0</DocSecurity>
  <Lines>36</Lines>
  <Paragraphs>10</Paragraphs>
  <ScaleCrop>false</ScaleCrop>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1 Video Overview</dc:title>
  <dc:creator>TurboScribe</dc:creator>
  <cp:lastModifiedBy>Ted Hildebrandt</cp:lastModifiedBy>
  <cp:revision>2</cp:revision>
  <dcterms:created xsi:type="dcterms:W3CDTF">2026-07-30T04:23:00Z</dcterms:created>
  <dcterms:modified xsi:type="dcterms:W3CDTF">2026-07-30T10:13:00Z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60c071c5-9c6d-49c3-a61c-f7650d511e88</vt:lpwstr>
  </property>
</Properties>
</file>