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C0879" w14:textId="77777777" w:rsidR="00FB2F32" w:rsidRPr="00FB2F32" w:rsidRDefault="00FB2F32" w:rsidP="00FB2F32">
      <w:pPr xmlns:w="http://schemas.openxmlformats.org/wordprocessingml/2006/main">
        <w:jc w:val="center"/>
        <w:rPr>
          <w:rFonts w:ascii="Calibri" w:eastAsia="Calibri" w:hAnsi="Calibri" w:cs="Calibri"/>
          <w:b/>
          <w:bCs/>
          <w:sz w:val="40"/>
          <w:szCs w:val="40"/>
        </w:rPr>
      </w:pPr>
      <w:r xmlns:w="http://schemas.openxmlformats.org/wordprocessingml/2006/main" w:rsidRPr="00FB2F32">
        <w:rPr>
          <w:rFonts w:ascii="Calibri" w:eastAsia="Calibri" w:hAnsi="Calibri" w:cs="Calibri"/>
          <w:b/>
          <w:bCs/>
          <w:sz w:val="40"/>
          <w:szCs w:val="40"/>
        </w:rPr>
        <w:t xml:space="preserve">Dr David Howard, Joshua-Ruth, séance 3,</w:t>
      </w:r>
    </w:p>
    <w:p w14:paraId="5D374AAE" w14:textId="0FE312B4" w:rsidR="004065EF" w:rsidRPr="00FB2F32" w:rsidRDefault="00000000" w:rsidP="00FB2F32">
      <w:pPr xmlns:w="http://schemas.openxmlformats.org/wordprocessingml/2006/main">
        <w:jc w:val="center"/>
        <w:rPr>
          <w:rFonts w:ascii="Calibri" w:eastAsia="Calibri" w:hAnsi="Calibri" w:cs="Calibri"/>
          <w:b/>
          <w:bCs/>
          <w:sz w:val="40"/>
          <w:szCs w:val="40"/>
        </w:rPr>
      </w:pPr>
      <w:r xmlns:w="http://schemas.openxmlformats.org/wordprocessingml/2006/main" w:rsidRPr="00FB2F32">
        <w:rPr>
          <w:rFonts w:ascii="Calibri" w:eastAsia="Calibri" w:hAnsi="Calibri" w:cs="Calibri"/>
          <w:b/>
          <w:bCs/>
          <w:sz w:val="40"/>
          <w:szCs w:val="40"/>
        </w:rPr>
        <w:t xml:space="preserve">Introduction Partie 3</w:t>
      </w:r>
    </w:p>
    <w:p w14:paraId="6B3C2B95" w14:textId="296C113C" w:rsidR="00FB2F32" w:rsidRPr="00FB2F32" w:rsidRDefault="00FB2F32" w:rsidP="00FB2F32">
      <w:pPr xmlns:w="http://schemas.openxmlformats.org/wordprocessingml/2006/main">
        <w:jc w:val="center"/>
        <w:rPr>
          <w:rFonts w:ascii="Calibri" w:eastAsia="Calibri" w:hAnsi="Calibri" w:cs="Calibri"/>
          <w:sz w:val="26"/>
          <w:szCs w:val="26"/>
        </w:rPr>
      </w:pPr>
      <w:r xmlns:w="http://schemas.openxmlformats.org/wordprocessingml/2006/main" w:rsidRPr="00FB2F32">
        <w:rPr>
          <w:rFonts w:ascii="AA Times New Roman" w:eastAsia="Calibri" w:hAnsi="AA Times New Roman" w:cs="AA Times New Roman"/>
          <w:sz w:val="26"/>
          <w:szCs w:val="26"/>
        </w:rPr>
        <w:t xml:space="preserve">© </w:t>
      </w:r>
      <w:r xmlns:w="http://schemas.openxmlformats.org/wordprocessingml/2006/main" w:rsidRPr="00FB2F32">
        <w:rPr>
          <w:rFonts w:ascii="Calibri" w:eastAsia="Calibri" w:hAnsi="Calibri" w:cs="Calibri"/>
          <w:sz w:val="26"/>
          <w:szCs w:val="26"/>
        </w:rPr>
        <w:t xml:space="preserve">2024 David Howard et Ted Hildebrandt</w:t>
      </w:r>
    </w:p>
    <w:p w14:paraId="2C1D01A2" w14:textId="77777777" w:rsidR="00FB2F32" w:rsidRPr="00FB2F32" w:rsidRDefault="00FB2F32">
      <w:pPr>
        <w:rPr>
          <w:sz w:val="26"/>
          <w:szCs w:val="26"/>
        </w:rPr>
      </w:pPr>
    </w:p>
    <w:p w14:paraId="71916A9E" w14:textId="54455322" w:rsidR="00FB2F32" w:rsidRDefault="00000000">
      <w:pPr xmlns:w="http://schemas.openxmlformats.org/wordprocessingml/2006/main">
        <w:rPr>
          <w:rFonts w:ascii="Calibri" w:eastAsia="Calibri" w:hAnsi="Calibri" w:cs="Calibri"/>
          <w:sz w:val="26"/>
          <w:szCs w:val="26"/>
        </w:rPr>
      </w:pPr>
      <w:r xmlns:w="http://schemas.openxmlformats.org/wordprocessingml/2006/main" w:rsidRPr="00FB2F32">
        <w:rPr>
          <w:rFonts w:ascii="Calibri" w:eastAsia="Calibri" w:hAnsi="Calibri" w:cs="Calibri"/>
          <w:sz w:val="26"/>
          <w:szCs w:val="26"/>
        </w:rPr>
        <w:t xml:space="preserve">C'est le Dr David Howard dans son enseignement sur Josué à travers Ruth. Il s'agit de la session 3, Introduction à Josué, partie 3, Contexte littéraire.</w:t>
      </w:r>
    </w:p>
    <w:p w14:paraId="05E37513" w14:textId="77777777" w:rsidR="00FB2F32" w:rsidRDefault="00FB2F32">
      <w:pPr>
        <w:rPr>
          <w:rFonts w:ascii="Calibri" w:eastAsia="Calibri" w:hAnsi="Calibri" w:cs="Calibri"/>
          <w:sz w:val="26"/>
          <w:szCs w:val="26"/>
        </w:rPr>
      </w:pPr>
    </w:p>
    <w:p w14:paraId="2D38CCBB" w14:textId="46DE003C"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Dans ce segment, je veux parler de ce que j'appellerais le contexte littéraire du livre de Josué.</w:t>
      </w:r>
    </w:p>
    <w:p w14:paraId="7712DB67" w14:textId="77777777" w:rsidR="004065EF" w:rsidRPr="00FB2F32" w:rsidRDefault="004065EF">
      <w:pPr>
        <w:rPr>
          <w:sz w:val="26"/>
          <w:szCs w:val="26"/>
        </w:rPr>
      </w:pPr>
    </w:p>
    <w:p w14:paraId="2977E479" w14:textId="1D0F944B"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Nous avons parlé dans un autre segment du contexte historique et géographique, mais le livre de Josué ne fait pas seulement référence à des événements, des lieux et des personnes qui se sont produits en temps réel, dans l'espace et dans l'histoire, mais c'est aussi une composition littéraire. C'est un livre de mots écrit par quelqu'un avec une certaine intention. L'intention dont nous avons parlé dans un segment différent est que le don de Dieu de la terre promise est le peuple d'Israël et ainsi de suite.</w:t>
      </w:r>
    </w:p>
    <w:p w14:paraId="7784B8B7" w14:textId="77777777" w:rsidR="004065EF" w:rsidRPr="00FB2F32" w:rsidRDefault="004065EF">
      <w:pPr>
        <w:rPr>
          <w:sz w:val="26"/>
          <w:szCs w:val="26"/>
        </w:rPr>
      </w:pPr>
    </w:p>
    <w:p w14:paraId="39AF3E9D" w14:textId="3403CAB9"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Mais pensons maintenant au livre de Josué dans son contexte littéraire, à savoir à l'endroit du canon, à l'endroit de l'Ancien Testament où il apparaît. Ainsi, traditionnellement, nous avons les cinq premiers livres de la Bible, la Genèse, l'Exode, le Lévitique, les Nombres et le Deutéronome, que nous appellerions le Pentateuque. La division est ici et la logique derrière cela, on les appelle parfois les livres de Moïse, et ce serait parce que Moïse était le principal auteur de ces livres.</w:t>
      </w:r>
    </w:p>
    <w:p w14:paraId="1301E9E0" w14:textId="77777777" w:rsidR="004065EF" w:rsidRPr="00FB2F32" w:rsidRDefault="004065EF">
      <w:pPr>
        <w:rPr>
          <w:sz w:val="26"/>
          <w:szCs w:val="26"/>
        </w:rPr>
      </w:pPr>
    </w:p>
    <w:p w14:paraId="4B75EBE0" w14:textId="77777777"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Moïse meurt à la fin du Deutéronome, c'est donc une division logique d'une section majeure de la Bible. Après cela, dans la tradition protestante, on parle habituellement des livres historiques, de Josué jusqu'à 2 Rois ou même tout au long des Chroniques comme Néhémie Esther. Je n'aime pas complètement ce terme car il pourrait impliquer que d'autres parties ne sont pas historiques.</w:t>
      </w:r>
    </w:p>
    <w:p w14:paraId="05E6BE61" w14:textId="77777777" w:rsidR="004065EF" w:rsidRPr="00FB2F32" w:rsidRDefault="004065EF">
      <w:pPr>
        <w:rPr>
          <w:sz w:val="26"/>
          <w:szCs w:val="26"/>
        </w:rPr>
      </w:pPr>
    </w:p>
    <w:p w14:paraId="00224617" w14:textId="572145E2"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Je dirais que le scénario de Josué reprend le scénario de Nombres, Exode et Genèse, et donc ceux-ci seraient également historiques dans ce sens, les sections narratives. Mais c'est un terme de commodité. Il raconte l'histoire du moment où Israël est entré dans le pays, et si vous allez chez les Rois, 2 Rois, c'est là qu'Israël est emmené du pays.</w:t>
      </w:r>
    </w:p>
    <w:p w14:paraId="3DE79255" w14:textId="77777777" w:rsidR="004065EF" w:rsidRPr="00FB2F32" w:rsidRDefault="004065EF">
      <w:pPr>
        <w:rPr>
          <w:sz w:val="26"/>
          <w:szCs w:val="26"/>
        </w:rPr>
      </w:pPr>
    </w:p>
    <w:p w14:paraId="77E5A6A3" w14:textId="24382E78" w:rsidR="004065EF" w:rsidRPr="00FB2F32" w:rsidRDefault="0036649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Donc, ce sont environ 400 ans, ou plus de 400 ans, peut-être 800 ou 900 ans de la vie d'Israël sur terre. Dans la tradition juive, ceux-ci sont appelés les anciens prophètes Josué, les Juges, 1 Samuel et 1 Rois. Et ce ne sont pas des prophètes dans le même sens qu'Isaïe, Jérémie, Ézéchiel et les autres, mais dans le sens où les prophètes sont des gens qui prononcent des paroles venant de Dieu, des porte-parole de Dieu, comme Isaïe et d'autres l'ont parlé dans les rues de Jérusalem. ou en Samarie.</w:t>
      </w:r>
    </w:p>
    <w:p w14:paraId="4036A8AF" w14:textId="77777777" w:rsidR="004065EF" w:rsidRPr="00FB2F32" w:rsidRDefault="004065EF">
      <w:pPr>
        <w:rPr>
          <w:sz w:val="26"/>
          <w:szCs w:val="26"/>
        </w:rPr>
      </w:pPr>
    </w:p>
    <w:p w14:paraId="0BF229F4" w14:textId="4D44C36F"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lastRenderedPageBreak xmlns:w="http://schemas.openxmlformats.org/wordprocessingml/2006/main"/>
      </w:r>
      <w:r xmlns:w="http://schemas.openxmlformats.org/wordprocessingml/2006/main" w:rsidRPr="00FB2F32">
        <w:rPr>
          <w:rFonts w:ascii="Calibri" w:eastAsia="Calibri" w:hAnsi="Calibri" w:cs="Calibri"/>
          <w:sz w:val="26"/>
          <w:szCs w:val="26"/>
        </w:rPr>
        <w:t xml:space="preserve">Les auteurs de ces livres expriment les paroles de Dieu d’une manière différente. Ils écrivent les événements et les interprètent à travers les yeux de Dieu. </w:t>
      </w:r>
      <w:r xmlns:w="http://schemas.openxmlformats.org/wordprocessingml/2006/main" w:rsidR="00366490" w:rsidRPr="00FB2F32">
        <w:rPr>
          <w:rFonts w:ascii="Calibri" w:eastAsia="Calibri" w:hAnsi="Calibri" w:cs="Calibri"/>
          <w:sz w:val="26"/>
          <w:szCs w:val="26"/>
        </w:rPr>
        <w:t xml:space="preserve">Donc, en ce sens, on peut les appeler des prophètes.</w:t>
      </w:r>
    </w:p>
    <w:p w14:paraId="64402A17" w14:textId="77777777" w:rsidR="004065EF" w:rsidRPr="00FB2F32" w:rsidRDefault="004065EF">
      <w:pPr>
        <w:rPr>
          <w:sz w:val="26"/>
          <w:szCs w:val="26"/>
        </w:rPr>
      </w:pPr>
    </w:p>
    <w:p w14:paraId="0C9B93E4" w14:textId="61C9BF7E" w:rsidR="004065EF" w:rsidRPr="00FB2F32" w:rsidRDefault="0036649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Ainsi, le livre de Josué est alors le chef des livres historiques, le premier livre de vie dans le pays. Maintenant, si vous lisez suffisamment la littérature de l’Ancien Testament, vous rencontrerez des théories de composition qui peuvent être un peu différentes de celle-ci. L'une des théories majeures qui avaient du cachet il y a quelques siècles, au début du 20e siècle, était celle selon laquelle le scénario de la Genèse ne se terminait pas vraiment dans le Deutéronome, mais se terminait dans Josué.</w:t>
      </w:r>
    </w:p>
    <w:p w14:paraId="47855C02" w14:textId="77777777" w:rsidR="004065EF" w:rsidRPr="00FB2F32" w:rsidRDefault="004065EF">
      <w:pPr>
        <w:rPr>
          <w:sz w:val="26"/>
          <w:szCs w:val="26"/>
        </w:rPr>
      </w:pPr>
    </w:p>
    <w:p w14:paraId="62278BD2" w14:textId="79BD9E4F" w:rsidR="004065EF" w:rsidRPr="00FB2F32" w:rsidRDefault="003664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devrions penser à quelque chose appelé un Hexateuque. Le Pentateuque tire son nom du mot penta signifiant cinq. Ainsi, dans les cinq premiers livres, nous considérons le pentagone comme une chose à cinq faces. Un hexagone est une structure géométrique à six côtés.</w:t>
      </w:r>
    </w:p>
    <w:p w14:paraId="222BE1FD" w14:textId="77777777" w:rsidR="004065EF" w:rsidRPr="00FB2F32" w:rsidRDefault="004065EF">
      <w:pPr>
        <w:rPr>
          <w:sz w:val="26"/>
          <w:szCs w:val="26"/>
        </w:rPr>
      </w:pPr>
    </w:p>
    <w:p w14:paraId="08897391" w14:textId="6DD3299C" w:rsidR="004065EF" w:rsidRPr="00FB2F32" w:rsidRDefault="0036649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Ainsi, l'Hexateuque serait les six premiers livres de l'Ancien Testament. Les érudits ont proposé cette théorie à la fin du 19ème siècle et au début du 20ème siècle, pensant que non, Moïse n'était pas l'auteur du Pentateuque, mais que quelqu'un a écrit à ce sujet beaucoup plus tard, et les fils de discussion qui parcourraient tous ces livres se terminaient par Josué. Et il y a une certaine logique à cela parce qu'il y a tellement de choses chez Josué qui regardent en arrière alors que l'accomplissement des promesses et le scénario se terminent ici.</w:t>
      </w:r>
    </w:p>
    <w:p w14:paraId="1C232E30" w14:textId="77777777" w:rsidR="004065EF" w:rsidRPr="00FB2F32" w:rsidRDefault="004065EF">
      <w:pPr>
        <w:rPr>
          <w:sz w:val="26"/>
          <w:szCs w:val="26"/>
        </w:rPr>
      </w:pPr>
    </w:p>
    <w:p w14:paraId="0CAF96DF" w14:textId="14119B92"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Le mouvement dans le Pentateuque est toujours tourné vers l’avenir. Dieu donne des promesses concernant le pays à Abraham, puis quelques décennies plus tard, ses descendants ne sont plus dans le pays. Ils sont en Egypte.</w:t>
      </w:r>
    </w:p>
    <w:p w14:paraId="473B9BAA" w14:textId="77777777" w:rsidR="004065EF" w:rsidRPr="00FB2F32" w:rsidRDefault="004065EF">
      <w:pPr>
        <w:rPr>
          <w:sz w:val="26"/>
          <w:szCs w:val="26"/>
        </w:rPr>
      </w:pPr>
    </w:p>
    <w:p w14:paraId="54CF9A81" w14:textId="0E0FD6EC"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Et puis le reste du livre de l’Exode se dirige vers la terre promise. Le livre des Nombres se déplace à travers le désert vers la terre promise. Donc, il y a toujours ce mouvement vers l’avant.</w:t>
      </w:r>
    </w:p>
    <w:p w14:paraId="3B672739" w14:textId="77777777" w:rsidR="004065EF" w:rsidRPr="00FB2F32" w:rsidRDefault="004065EF">
      <w:pPr>
        <w:rPr>
          <w:sz w:val="26"/>
          <w:szCs w:val="26"/>
        </w:rPr>
      </w:pPr>
    </w:p>
    <w:p w14:paraId="7F587FCF" w14:textId="01A49134"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Et à la fin de chaque livre du Pentateuque, il y a ce genre de tendance tournée vers l’avenir. À la fin de la Genèse, ils sont en exil en Égypte et veulent retourner au pays. Exode, la même chose.</w:t>
      </w:r>
    </w:p>
    <w:p w14:paraId="012C1AB2" w14:textId="77777777" w:rsidR="004065EF" w:rsidRPr="00FB2F32" w:rsidRDefault="004065EF">
      <w:pPr>
        <w:rPr>
          <w:sz w:val="26"/>
          <w:szCs w:val="26"/>
        </w:rPr>
      </w:pPr>
    </w:p>
    <w:p w14:paraId="1408C0C2" w14:textId="4911BF27"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Ils veulent retourner à la terre, etc. Donc, tous ces livres, les cinq livres, regardent vers l’avenir. Et c'est dans le livre de Josué que nous avons l'accomplissement de cela.</w:t>
      </w:r>
    </w:p>
    <w:p w14:paraId="2ED79EC2" w14:textId="77777777" w:rsidR="004065EF" w:rsidRPr="00FB2F32" w:rsidRDefault="004065EF">
      <w:pPr>
        <w:rPr>
          <w:sz w:val="26"/>
          <w:szCs w:val="26"/>
        </w:rPr>
      </w:pPr>
    </w:p>
    <w:p w14:paraId="20F23402" w14:textId="198ECEC6"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Et il y a une impression dans le livre de Josué, c'est une sorte d'impression que, ah, nous sommes là. Finalement, après tous ces siècles, les promesses se réalisent, nous sommes dans la terre et la vie est belle. Il y a donc clairement le sentiment que le livre de Josué revient sur tout cela avec appréciation.</w:t>
      </w:r>
    </w:p>
    <w:p w14:paraId="06C2036A" w14:textId="77777777" w:rsidR="004065EF" w:rsidRPr="00FB2F32" w:rsidRDefault="004065EF">
      <w:pPr>
        <w:rPr>
          <w:sz w:val="26"/>
          <w:szCs w:val="26"/>
        </w:rPr>
      </w:pPr>
    </w:p>
    <w:p w14:paraId="5C09AAB2" w14:textId="750FE59B"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La vie est maintenant belle. Il y a une certaine stabilité dans le livre de Josué que l’on ne trouve pas dans la plupart des autres livres. C'est donc vrai que ce livre regarde en arrière.</w:t>
      </w:r>
    </w:p>
    <w:p w14:paraId="79E66529" w14:textId="77777777" w:rsidR="004065EF" w:rsidRPr="00FB2F32" w:rsidRDefault="004065EF">
      <w:pPr>
        <w:rPr>
          <w:sz w:val="26"/>
          <w:szCs w:val="26"/>
        </w:rPr>
      </w:pPr>
    </w:p>
    <w:p w14:paraId="16C3CD09" w14:textId="12E4D316"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Mais cette théorie ignore la compréhension traditionnelle du Pentateuque comme provenant de la plume de Moïse, ou de la majeure partie du Pentateuque provenant de la plume de Moïse. Ainsi, en 1943, un érudit allemand nommé Martin Noth a proposé une théorie différente. Et il a proposé une théorie appelée Histoire Deutéronomiste.</w:t>
      </w:r>
    </w:p>
    <w:p w14:paraId="709D7E8D" w14:textId="77777777" w:rsidR="004065EF" w:rsidRPr="00FB2F32" w:rsidRDefault="004065EF">
      <w:pPr>
        <w:rPr>
          <w:sz w:val="26"/>
          <w:szCs w:val="26"/>
        </w:rPr>
      </w:pPr>
    </w:p>
    <w:p w14:paraId="650CCE79" w14:textId="703869ED"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Et Noth pensait que non, le point de clôture devrait être ici. Et le livre du Deutéronome doit être compris comme le chef de tous ces livres. Il est clair que le livre du Deutéronome envisage beaucoup la vie dans le pays, les instructions de Moïse à la fin de sa vie, la manière dont ils devraient vivre, etc.</w:t>
      </w:r>
    </w:p>
    <w:p w14:paraId="3759DD7C" w14:textId="77777777" w:rsidR="004065EF" w:rsidRPr="00FB2F32" w:rsidRDefault="004065EF">
      <w:pPr>
        <w:rPr>
          <w:sz w:val="26"/>
          <w:szCs w:val="26"/>
        </w:rPr>
      </w:pPr>
    </w:p>
    <w:p w14:paraId="0D92BC9C" w14:textId="010E00C3"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Et que vous trouvez dans les livres de Josué, des Juges, de Samuel et des Rois des thèmes qui sont articulés pour la première fois dans le livre du Deutéronome. Ainsi, Noth a soutenu que 2 Rois se termine par la destruction de Jérusalem et la libération de Jehoiakin de prison en 561, des centaines d'années plus tard. Ainsi, Martin Noth a soutenu que l’intégralité de ce corpus de tous ces grands livres a été écrit pendant l’exil après la chute de Jérusalem.</w:t>
      </w:r>
    </w:p>
    <w:p w14:paraId="515A68FD" w14:textId="77777777" w:rsidR="004065EF" w:rsidRPr="00FB2F32" w:rsidRDefault="004065EF">
      <w:pPr>
        <w:rPr>
          <w:sz w:val="26"/>
          <w:szCs w:val="26"/>
        </w:rPr>
      </w:pPr>
    </w:p>
    <w:p w14:paraId="147A9438" w14:textId="36151D50"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Peut-être que des parties ont été écrites plus tôt, mais tout cela est rassemblé dans une grande composition appelée l'Histoire Deutéronomiste. Et encore une fois, je conviens qu’une grande partie de ce que Noth a soutenu est logique. Car oui, le Deutéronome regarde vers l’avenir.</w:t>
      </w:r>
    </w:p>
    <w:p w14:paraId="3D94E7CF" w14:textId="77777777" w:rsidR="004065EF" w:rsidRPr="00FB2F32" w:rsidRDefault="004065EF">
      <w:pPr>
        <w:rPr>
          <w:sz w:val="26"/>
          <w:szCs w:val="26"/>
        </w:rPr>
      </w:pPr>
    </w:p>
    <w:p w14:paraId="148DC446" w14:textId="360B3ED6"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Beaucoup de choses concernant l'obéissance et les promesses de Dieu, etc., mentionnées dans le Deutéronome, s'accomplissent dans ces livres. Et même certaines des raisons pour lesquelles Samarie et Jérusalem sont tombées dans 2 Rois font écho aux avertissements du livre du Deutéronome. Il y a donc clairement ce fil conducteur et cette unité de thème.</w:t>
      </w:r>
    </w:p>
    <w:p w14:paraId="1DAF5D44" w14:textId="77777777" w:rsidR="004065EF" w:rsidRPr="00FB2F32" w:rsidRDefault="004065EF">
      <w:pPr>
        <w:rPr>
          <w:sz w:val="26"/>
          <w:szCs w:val="26"/>
        </w:rPr>
      </w:pPr>
    </w:p>
    <w:p w14:paraId="6B99B724" w14:textId="77777777"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C'est une chose de dire qu'il y a une unité de thème. C'en est une autre de dire qu'il existe une unité de paternité. Et je ne suis pas d’accord avec la théorie de Note selon laquelle tout cela est écrit en exil.</w:t>
      </w:r>
    </w:p>
    <w:p w14:paraId="0313DE30" w14:textId="77777777" w:rsidR="004065EF" w:rsidRPr="00FB2F32" w:rsidRDefault="004065EF">
      <w:pPr>
        <w:rPr>
          <w:sz w:val="26"/>
          <w:szCs w:val="26"/>
        </w:rPr>
      </w:pPr>
    </w:p>
    <w:p w14:paraId="2C3F7F87" w14:textId="77777777"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Encore une fois, j’affirmerais la perspective traditionnelle selon laquelle le Pentateuque était essentiellement mosaïque. Mais le but tout entier de ceci est de montrer le contexte du livre de Josué en tant que livre à charnières. Et dans un sens, le Deutéronome et Josué sont tous deux des livres à charnières.</w:t>
      </w:r>
    </w:p>
    <w:p w14:paraId="1B0C1858" w14:textId="77777777" w:rsidR="004065EF" w:rsidRPr="00FB2F32" w:rsidRDefault="004065EF">
      <w:pPr>
        <w:rPr>
          <w:sz w:val="26"/>
          <w:szCs w:val="26"/>
        </w:rPr>
      </w:pPr>
    </w:p>
    <w:p w14:paraId="3A0E9839" w14:textId="77777777"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Parce que le Deutéronome consiste en les derniers discours de Moïse, revenant sur sa vie avec Israël et disant : voici comment Dieu nous a été fidèle au fil des générations, depuis Abraham et surtout pour nous ces 40 dernières années. Voici comment Dieu a été avec nous en Égypte et dans le désert, etc. Et c’est un regard rétrospectif dans le livre du Deutéronome.</w:t>
      </w:r>
    </w:p>
    <w:p w14:paraId="5CF29BA5" w14:textId="77777777" w:rsidR="004065EF" w:rsidRPr="00FB2F32" w:rsidRDefault="004065EF">
      <w:pPr>
        <w:rPr>
          <w:sz w:val="26"/>
          <w:szCs w:val="26"/>
        </w:rPr>
      </w:pPr>
    </w:p>
    <w:p w14:paraId="6249FA15" w14:textId="21DC3F38"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Mais il regarde vers l'avenir parce que Moïse dit : maintenant je vais quitter la scène. Et vous allez traverser la terre promise et voici les choses dont vous devez vous souvenir. Et une partie du Deutéronome répète les lois données 40 ans plus tôt.</w:t>
      </w:r>
    </w:p>
    <w:p w14:paraId="4B0BDC1B" w14:textId="77777777" w:rsidR="004065EF" w:rsidRPr="00FB2F32" w:rsidRDefault="004065EF">
      <w:pPr>
        <w:rPr>
          <w:sz w:val="26"/>
          <w:szCs w:val="26"/>
        </w:rPr>
      </w:pPr>
    </w:p>
    <w:p w14:paraId="2107E7E7" w14:textId="77777777"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Même le nom du livre, Deutéronome, vient des mots Deutero et Nomos, signifiant deuxième loi. La loi avait été donnée initialement sur le Mont Sinaï à la première génération. Ces gens sont morts dans le désert et maintenant Moïse parlait à la deuxième génération.</w:t>
      </w:r>
    </w:p>
    <w:p w14:paraId="47585891" w14:textId="77777777" w:rsidR="004065EF" w:rsidRPr="00FB2F32" w:rsidRDefault="004065EF">
      <w:pPr>
        <w:rPr>
          <w:sz w:val="26"/>
          <w:szCs w:val="26"/>
        </w:rPr>
      </w:pPr>
    </w:p>
    <w:p w14:paraId="234A8FBD" w14:textId="705970ED"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Encore une fois, il s’agit de regarder en arrière, mais aussi d’avancer. Josué, c'est la même chose. Il regarde en arrière et dit : c'est l'accomplissement des promesses.</w:t>
      </w:r>
    </w:p>
    <w:p w14:paraId="7E79100F" w14:textId="77777777" w:rsidR="004065EF" w:rsidRPr="00FB2F32" w:rsidRDefault="004065EF">
      <w:pPr>
        <w:rPr>
          <w:sz w:val="26"/>
          <w:szCs w:val="26"/>
        </w:rPr>
      </w:pPr>
    </w:p>
    <w:p w14:paraId="056A1DD1" w14:textId="042C4573"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Et pourtant, Josué envisage également d’une certaine manière le premier livre dans lequel Israël a vécu jusqu’à la fin de 2 Rois, lorsqu’Israël est enlevé du pays. Ainsi, le livre de Josué est un livre qui regarde en arrière et en avant dans l’ensemble de ces livres ici. Et je pense qu'il est utile de garder cette perspective à l'esprit.</w:t>
      </w:r>
    </w:p>
    <w:p w14:paraId="530692E5" w14:textId="77777777" w:rsidR="004065EF" w:rsidRPr="00FB2F32" w:rsidRDefault="004065EF">
      <w:pPr>
        <w:rPr>
          <w:sz w:val="26"/>
          <w:szCs w:val="26"/>
        </w:rPr>
      </w:pPr>
    </w:p>
    <w:p w14:paraId="3E3E4F55" w14:textId="1620D56D"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C'est le Dr David Howard dans son enseignement sur Josué à travers Ruth. Il s'agit de la session 3, Introduction à Josué, partie 3, Contexte littéraire.</w:t>
      </w:r>
    </w:p>
    <w:sectPr w:rsidR="004065EF" w:rsidRPr="00FB2F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84E29" w14:textId="77777777" w:rsidR="00DE7F4E" w:rsidRDefault="00DE7F4E" w:rsidP="00FB2F32">
      <w:r>
        <w:separator/>
      </w:r>
    </w:p>
  </w:endnote>
  <w:endnote w:type="continuationSeparator" w:id="0">
    <w:p w14:paraId="52F4EFC0" w14:textId="77777777" w:rsidR="00DE7F4E" w:rsidRDefault="00DE7F4E" w:rsidP="00FB2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4A34A" w14:textId="77777777" w:rsidR="00DE7F4E" w:rsidRDefault="00DE7F4E" w:rsidP="00FB2F32">
      <w:r>
        <w:separator/>
      </w:r>
    </w:p>
  </w:footnote>
  <w:footnote w:type="continuationSeparator" w:id="0">
    <w:p w14:paraId="40BCB098" w14:textId="77777777" w:rsidR="00DE7F4E" w:rsidRDefault="00DE7F4E" w:rsidP="00FB2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617353"/>
      <w:docPartObj>
        <w:docPartGallery w:val="Page Numbers (Top of Page)"/>
        <w:docPartUnique/>
      </w:docPartObj>
    </w:sdtPr>
    <w:sdtEndPr>
      <w:rPr>
        <w:noProof/>
      </w:rPr>
    </w:sdtEndPr>
    <w:sdtContent>
      <w:p w14:paraId="5717E358" w14:textId="21910FFA" w:rsidR="00FB2F32" w:rsidRDefault="00FB2F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361EBB6" w14:textId="77777777" w:rsidR="00FB2F32" w:rsidRDefault="00FB2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E3540"/>
    <w:multiLevelType w:val="hybridMultilevel"/>
    <w:tmpl w:val="3FD8CA50"/>
    <w:lvl w:ilvl="0" w:tplc="F1C00690">
      <w:start w:val="1"/>
      <w:numFmt w:val="bullet"/>
      <w:lvlText w:val="●"/>
      <w:lvlJc w:val="left"/>
      <w:pPr>
        <w:ind w:left="720" w:hanging="360"/>
      </w:pPr>
    </w:lvl>
    <w:lvl w:ilvl="1" w:tplc="0CB28E9E">
      <w:start w:val="1"/>
      <w:numFmt w:val="bullet"/>
      <w:lvlText w:val="○"/>
      <w:lvlJc w:val="left"/>
      <w:pPr>
        <w:ind w:left="1440" w:hanging="360"/>
      </w:pPr>
    </w:lvl>
    <w:lvl w:ilvl="2" w:tplc="D0640D38">
      <w:start w:val="1"/>
      <w:numFmt w:val="bullet"/>
      <w:lvlText w:val="■"/>
      <w:lvlJc w:val="left"/>
      <w:pPr>
        <w:ind w:left="2160" w:hanging="360"/>
      </w:pPr>
    </w:lvl>
    <w:lvl w:ilvl="3" w:tplc="74206CA6">
      <w:start w:val="1"/>
      <w:numFmt w:val="bullet"/>
      <w:lvlText w:val="●"/>
      <w:lvlJc w:val="left"/>
      <w:pPr>
        <w:ind w:left="2880" w:hanging="360"/>
      </w:pPr>
    </w:lvl>
    <w:lvl w:ilvl="4" w:tplc="9014EFFE">
      <w:start w:val="1"/>
      <w:numFmt w:val="bullet"/>
      <w:lvlText w:val="○"/>
      <w:lvlJc w:val="left"/>
      <w:pPr>
        <w:ind w:left="3600" w:hanging="360"/>
      </w:pPr>
    </w:lvl>
    <w:lvl w:ilvl="5" w:tplc="92C05270">
      <w:start w:val="1"/>
      <w:numFmt w:val="bullet"/>
      <w:lvlText w:val="■"/>
      <w:lvlJc w:val="left"/>
      <w:pPr>
        <w:ind w:left="4320" w:hanging="360"/>
      </w:pPr>
    </w:lvl>
    <w:lvl w:ilvl="6" w:tplc="11D81126">
      <w:start w:val="1"/>
      <w:numFmt w:val="bullet"/>
      <w:lvlText w:val="●"/>
      <w:lvlJc w:val="left"/>
      <w:pPr>
        <w:ind w:left="5040" w:hanging="360"/>
      </w:pPr>
    </w:lvl>
    <w:lvl w:ilvl="7" w:tplc="47F4EFCE">
      <w:start w:val="1"/>
      <w:numFmt w:val="bullet"/>
      <w:lvlText w:val="●"/>
      <w:lvlJc w:val="left"/>
      <w:pPr>
        <w:ind w:left="5760" w:hanging="360"/>
      </w:pPr>
    </w:lvl>
    <w:lvl w:ilvl="8" w:tplc="45682BA2">
      <w:start w:val="1"/>
      <w:numFmt w:val="bullet"/>
      <w:lvlText w:val="●"/>
      <w:lvlJc w:val="left"/>
      <w:pPr>
        <w:ind w:left="6480" w:hanging="360"/>
      </w:pPr>
    </w:lvl>
  </w:abstractNum>
  <w:num w:numId="1" w16cid:durableId="4046866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5EF"/>
    <w:rsid w:val="00190C46"/>
    <w:rsid w:val="00366490"/>
    <w:rsid w:val="004065EF"/>
    <w:rsid w:val="004C5FFF"/>
    <w:rsid w:val="00CA0F81"/>
    <w:rsid w:val="00DE7F4E"/>
    <w:rsid w:val="00FB2F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AA993"/>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B2F32"/>
    <w:pPr>
      <w:tabs>
        <w:tab w:val="center" w:pos="4680"/>
        <w:tab w:val="right" w:pos="9360"/>
      </w:tabs>
    </w:pPr>
  </w:style>
  <w:style w:type="character" w:customStyle="1" w:styleId="HeaderChar">
    <w:name w:val="Header Char"/>
    <w:basedOn w:val="DefaultParagraphFont"/>
    <w:link w:val="Header"/>
    <w:uiPriority w:val="99"/>
    <w:rsid w:val="00FB2F32"/>
  </w:style>
  <w:style w:type="paragraph" w:styleId="Footer">
    <w:name w:val="footer"/>
    <w:basedOn w:val="Normal"/>
    <w:link w:val="FooterChar"/>
    <w:uiPriority w:val="99"/>
    <w:unhideWhenUsed/>
    <w:rsid w:val="00FB2F32"/>
    <w:pPr>
      <w:tabs>
        <w:tab w:val="center" w:pos="4680"/>
        <w:tab w:val="right" w:pos="9360"/>
      </w:tabs>
    </w:pPr>
  </w:style>
  <w:style w:type="character" w:customStyle="1" w:styleId="FooterChar">
    <w:name w:val="Footer Char"/>
    <w:basedOn w:val="DefaultParagraphFont"/>
    <w:link w:val="Footer"/>
    <w:uiPriority w:val="99"/>
    <w:rsid w:val="00FB2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1527</Words>
  <Characters>6944</Characters>
  <Application>Microsoft Office Word</Application>
  <DocSecurity>0</DocSecurity>
  <Lines>146</Lines>
  <Paragraphs>33</Paragraphs>
  <ScaleCrop>false</ScaleCrop>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Session03 IntroPt3</dc:title>
  <dc:creator>TurboScribe.ai</dc:creator>
  <cp:lastModifiedBy>Ted Hildebrandt</cp:lastModifiedBy>
  <cp:revision>10</cp:revision>
  <dcterms:created xsi:type="dcterms:W3CDTF">2024-02-04T20:10:00Z</dcterms:created>
  <dcterms:modified xsi:type="dcterms:W3CDTF">2024-02-29T11:01:00Z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5141dc4bc1851850d2475b5c9b9ab9efbb96182590f248694d2fee5897b8432f</vt:lpwstr>
  </property>
</Properties>
</file>