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37F6" w14:textId="219A0541" w:rsidR="002657F6" w:rsidRPr="00420769" w:rsidRDefault="00420769" w:rsidP="0042076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20769">
        <w:rPr>
          <w:rFonts w:ascii="Calibri" w:eastAsia="Calibri" w:hAnsi="Calibri" w:cs="Calibri"/>
          <w:b/>
          <w:bCs/>
          <w:sz w:val="40"/>
          <w:szCs w:val="40"/>
        </w:rPr>
        <w:t xml:space="preserve">Доктор Кнут Хайм, Притчи, лекция 5. </w:t>
      </w:r>
      <w:r xmlns:w="http://schemas.openxmlformats.org/wordprocessingml/2006/main" w:rsidRPr="00420769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b/>
          <w:bCs/>
          <w:sz w:val="40"/>
          <w:szCs w:val="40"/>
        </w:rPr>
        <w:t xml:space="preserve">Основные моменты из Притчей 1–9.</w:t>
      </w:r>
    </w:p>
    <w:p w14:paraId="1990BE8C" w14:textId="65DF7F56" w:rsidR="00420769" w:rsidRPr="00420769" w:rsidRDefault="00420769" w:rsidP="00420769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2076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2024 Кнут Хайм и Тед Хильдебрандт</w:t>
      </w:r>
    </w:p>
    <w:p w14:paraId="0727CF9A" w14:textId="77777777" w:rsidR="00420769" w:rsidRPr="00420769" w:rsidRDefault="00420769">
      <w:pPr>
        <w:rPr>
          <w:sz w:val="26"/>
          <w:szCs w:val="26"/>
        </w:rPr>
      </w:pPr>
    </w:p>
    <w:p w14:paraId="39C93243" w14:textId="28EE5FE1" w:rsidR="00420769" w:rsidRPr="0042076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Это доктор Кнут Хайм в своем учении по книге Притчей. Это занятие номер пять: «Основные моменты из Притчей 1–9».</w:t>
      </w:r>
    </w:p>
    <w:p w14:paraId="0BF710BA" w14:textId="77777777" w:rsidR="00420769" w:rsidRPr="00420769" w:rsidRDefault="00420769">
      <w:pPr>
        <w:rPr>
          <w:rFonts w:ascii="Calibri" w:eastAsia="Calibri" w:hAnsi="Calibri" w:cs="Calibri"/>
          <w:sz w:val="26"/>
          <w:szCs w:val="26"/>
        </w:rPr>
      </w:pPr>
    </w:p>
    <w:p w14:paraId="61AD8E17" w14:textId="7699F91F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Добро пожаловать на пятую лекцию по библейской книге Притчей.</w:t>
      </w:r>
    </w:p>
    <w:p w14:paraId="5A30EB42" w14:textId="77777777" w:rsidR="002657F6" w:rsidRPr="00420769" w:rsidRDefault="002657F6">
      <w:pPr>
        <w:rPr>
          <w:sz w:val="26"/>
          <w:szCs w:val="26"/>
        </w:rPr>
      </w:pPr>
    </w:p>
    <w:p w14:paraId="21BE3A31" w14:textId="5BE11301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В пятой лекции мы собираемся подробнее изучить некоторые последствия современного изучения метода интерпретации поэзии и то, как это влияет на наше понимание книги Притчей, а затем мы будем использовать только один пример. , а именно из третьей главы Притчей, чтобы применить некоторые знания, полученные в первой части пятой лекции о методе интерпретации поэзии. Первая половина XXI века, на момент записи этих лекций, является захватывающим временем для изучения библейской поэзии. Ученые-языковеды и литературоведы получили захватывающие новые взгляды на поэзию, и именно этим я хочу поделиться с вами сейчас.</w:t>
      </w:r>
    </w:p>
    <w:p w14:paraId="19CB1CE8" w14:textId="77777777" w:rsidR="002657F6" w:rsidRPr="00420769" w:rsidRDefault="002657F6">
      <w:pPr>
        <w:rPr>
          <w:sz w:val="26"/>
          <w:szCs w:val="26"/>
        </w:rPr>
      </w:pPr>
    </w:p>
    <w:p w14:paraId="20209F1D" w14:textId="1A5FAE3C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Мы с современной лингвистикой упомянем некоторые из ее направлений и сделаем несколько общих комментариев по поводу этих различных ответвлений современной методологии, которые способствуют творческой и умелой интерпретации поэзии. Итак, первое из них — современная лингвистика помогает нам понять, как слова приобретают разные значения в разных контекстах и как словосочетания производят значения, далеко превосходящие сумму значений отдельных частей. Это помогает нам рассматривать двусмысленность как преимущество, а не как неудачу, о чем я упоминал в предыдущих лекциях.</w:t>
      </w:r>
    </w:p>
    <w:p w14:paraId="1E84E32B" w14:textId="77777777" w:rsidR="002657F6" w:rsidRPr="00420769" w:rsidRDefault="002657F6">
      <w:pPr>
        <w:rPr>
          <w:sz w:val="26"/>
          <w:szCs w:val="26"/>
        </w:rPr>
      </w:pPr>
    </w:p>
    <w:p w14:paraId="6B0BB4F9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Современные исследователи еврейской поэзии помогли нам преодолеть упрощенные идеи поэтического параллелизма и заново открыть для себя красоту еврейской поэзии, на чем мы также сосредоточились в одной из предыдущих лекций. Современная критическая теория вдохновляет нас задавать новые вопросы о знакомых текстах, предлагает нам заново открыть для себя их современную актуальность и дает нам возможность стать активными участниками процесса создания преобразующего смысла поэзией. Современное изучение метафор (а я еще больше расскажу о метафорах в одной-двух следующих лекциях) современное изучение метафор помогает нам понять, как метафоры, которые мы используем, говоря о сложных проблемах, формируют наше мышление и нашу жизнь.</w:t>
      </w:r>
    </w:p>
    <w:p w14:paraId="3B2A91D1" w14:textId="77777777" w:rsidR="002657F6" w:rsidRPr="00420769" w:rsidRDefault="002657F6">
      <w:pPr>
        <w:rPr>
          <w:sz w:val="26"/>
          <w:szCs w:val="26"/>
        </w:rPr>
      </w:pPr>
    </w:p>
    <w:p w14:paraId="6B28E55A" w14:textId="6BC2AE62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Современная герменевтика помогает нам читать библейскую поэзию со смирением и ожиданием. Эта знаменитая цитата, которую я постоянно повторяю, и я надеюсь, вы запомните ее до конца своей жизни: то, что написано с воображением, должно читаться с воображением, как говорил известный испанский католический ученый Луис Алонсо </w:t>
      </w:r>
      <w:proofErr xmlns:w="http://schemas.openxmlformats.org/wordprocessingml/2006/main" w:type="spellStart"/>
      <w:r xmlns:w="http://schemas.openxmlformats.org/wordprocessingml/2006/main" w:rsidR="00420769" w:rsidRPr="00420769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Шёкель .</w:t>
      </w:r>
      <w:proofErr xmlns:w="http://schemas.openxmlformats.org/wordprocessingml/2006/main" w:type="spellEnd"/>
      <w:r xmlns:w="http://schemas.openxmlformats.org/wordprocessingml/2006/main" w:rsidR="0042076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раньше говорил. Таким образом, во многих отношениях изучение еврейской поэзии только началось.</w:t>
      </w:r>
    </w:p>
    <w:p w14:paraId="1AF39327" w14:textId="77777777" w:rsidR="002657F6" w:rsidRPr="00420769" w:rsidRDefault="002657F6">
      <w:pPr>
        <w:rPr>
          <w:sz w:val="26"/>
          <w:szCs w:val="26"/>
        </w:rPr>
      </w:pPr>
    </w:p>
    <w:p w14:paraId="0D60F08D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Мы прибыли на новую территорию разума, которая ждет нашего открытия, землю, широко открытую для интерпретирующего воображения, приглашающую нас отправиться в захватывающее приключение разума, которое может изменить нашу жизнь, наши политические, культурные и этические ценности. и сделать нас более позитивными участниками общества. И тем самым, следовательно, изменить наш мир ради общего блага. Теперь такое творческое и ответственное христианское чтение требует навыков и воображения, и церкви и синагоге необходимо бросить вызов и дать им возможность приобрести эти толковательные качества.</w:t>
      </w:r>
    </w:p>
    <w:p w14:paraId="5AF8F93C" w14:textId="77777777" w:rsidR="002657F6" w:rsidRPr="00420769" w:rsidRDefault="002657F6">
      <w:pPr>
        <w:rPr>
          <w:sz w:val="26"/>
          <w:szCs w:val="26"/>
        </w:rPr>
      </w:pPr>
    </w:p>
    <w:p w14:paraId="1C7E4C7D" w14:textId="26A8E20F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Например, поэтические метафоры в Библии обладают огромной силой, и их можно использовать как силу добра или злоупотреблять ими для поощрения или оправдания зла. С одной стороны, они могут быть полезными проводниками перемен, если их ответственно и умело применять на общее благо. С другой стороны, поверхностные и некомпетентные интерпретации могут превратить их в опасные ловушки, вводящие в заблуждение благонамеренных христиан и евреев и подтверждающие узколобые и опасные предпосылки, существующие в общей культурной среде.</w:t>
      </w:r>
    </w:p>
    <w:p w14:paraId="34491B25" w14:textId="77777777" w:rsidR="002657F6" w:rsidRPr="00420769" w:rsidRDefault="002657F6">
      <w:pPr>
        <w:rPr>
          <w:sz w:val="26"/>
          <w:szCs w:val="26"/>
        </w:rPr>
      </w:pPr>
    </w:p>
    <w:p w14:paraId="73A33C12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В важном исследовании этической значимости закона Ветхого Завета для христиан известный исследователь Ветхого Завета Гордон Уэнам объясняет, что законы, как правило, представляют собой прагматический компромисс между идеалами законодателя и тем, что можно обеспечить на практике. Законы не показывают, что является социально желательным, не говоря уже об идеальном. Они обеспечивают соблюдение минимальных стандартов и устанавливают нижний предел приемлемого поведения, а не этический потолок.</w:t>
      </w:r>
    </w:p>
    <w:p w14:paraId="58447261" w14:textId="77777777" w:rsidR="002657F6" w:rsidRPr="00420769" w:rsidRDefault="002657F6">
      <w:pPr>
        <w:rPr>
          <w:sz w:val="26"/>
          <w:szCs w:val="26"/>
        </w:rPr>
      </w:pPr>
    </w:p>
    <w:p w14:paraId="54E4C62F" w14:textId="530E42F4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Цитирую, что они раскрывают не идеалы законодателей, а лишь пределы их толерантности. Конец цитаты. Напротив, я бы сказал, что поэзия Библии, включая поэзию Книги Притчей, может продвинуть нас дальше.</w:t>
      </w:r>
    </w:p>
    <w:p w14:paraId="6793D5D5" w14:textId="77777777" w:rsidR="002657F6" w:rsidRPr="00420769" w:rsidRDefault="002657F6">
      <w:pPr>
        <w:rPr>
          <w:sz w:val="26"/>
          <w:szCs w:val="26"/>
        </w:rPr>
      </w:pPr>
    </w:p>
    <w:p w14:paraId="2D7F47A3" w14:textId="652B6860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В его прекрасных словах и фразах, сильных мыслях, эмоциях и этических проблемах мы действительно сталкиваемся лицом к лицу с мечтами и надеждами народа Божьего. И взгляните на Божьи идеалы полноценной, целеустремленной жизни, которая активно способствует общему благу, а не просто избегает неправильных поступков. Теперь я хочу перейти к одному конкретному примеру из Книги Притчей.</w:t>
      </w:r>
    </w:p>
    <w:p w14:paraId="06EC0A57" w14:textId="77777777" w:rsidR="002657F6" w:rsidRPr="00420769" w:rsidRDefault="002657F6">
      <w:pPr>
        <w:rPr>
          <w:sz w:val="26"/>
          <w:szCs w:val="26"/>
        </w:rPr>
      </w:pPr>
    </w:p>
    <w:p w14:paraId="28556215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Это глава 3, стихи с 9 по 10. И это поэзия о процветании, области и теме в Книге Притчей, которая очень заметна и к которой я вернусь позже в одной из последних лекций нашей серии. Но вот и вот это краткое наставление в Притчах 3, 9–10, которое во многих христианских традициях часто ассоциируется с учением о преуспевании.</w:t>
      </w:r>
    </w:p>
    <w:p w14:paraId="6EA07520" w14:textId="77777777" w:rsidR="002657F6" w:rsidRPr="00420769" w:rsidRDefault="002657F6">
      <w:pPr>
        <w:rPr>
          <w:sz w:val="26"/>
          <w:szCs w:val="26"/>
        </w:rPr>
      </w:pPr>
    </w:p>
    <w:p w14:paraId="1CBA40FE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Оно читается так: «Почитай Господа всем имуществом твоим и начатками всех произведений твоих». Тогда житницы ваши наполнятся изобилием, и чаны ваши будут переполнены вином. Я просто повторю это, чтобы это усвоилось.</w:t>
      </w:r>
    </w:p>
    <w:p w14:paraId="305C0732" w14:textId="77777777" w:rsidR="002657F6" w:rsidRPr="00420769" w:rsidRDefault="002657F6">
      <w:pPr>
        <w:rPr>
          <w:sz w:val="26"/>
          <w:szCs w:val="26"/>
        </w:rPr>
      </w:pPr>
    </w:p>
    <w:p w14:paraId="558CE879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Почитай Господа всем имуществом твоим и начатками всех произведений твоих. Тогда житницы ваши наполнятся изобилием, и чаны ваши будут переполнены вином. Эти два стиха, конечно же, были основой проповеди евангелия процветания на протяжении многих лет, даже десятилетий.</w:t>
      </w:r>
    </w:p>
    <w:p w14:paraId="19BF4599" w14:textId="77777777" w:rsidR="002657F6" w:rsidRPr="00420769" w:rsidRDefault="002657F6">
      <w:pPr>
        <w:rPr>
          <w:sz w:val="26"/>
          <w:szCs w:val="26"/>
        </w:rPr>
      </w:pPr>
    </w:p>
    <w:p w14:paraId="59DDB7AD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Поверхностное прочтение действительно наводит на мысль о двух взаимосвязанных идеях: одной общей, другой конкретной. Во-первых, эти стихи предполагают, что благочестие автоматически ведет к богатству. Во-вторых, они, похоже, предполагают, что щедрые денежные пожертвования на церковную работу или христианские служения автоматически приводят к процветанию, особенно к финансовому вознаграждению.</w:t>
      </w:r>
    </w:p>
    <w:p w14:paraId="29DC516C" w14:textId="77777777" w:rsidR="002657F6" w:rsidRPr="00420769" w:rsidRDefault="002657F6">
      <w:pPr>
        <w:rPr>
          <w:sz w:val="26"/>
          <w:szCs w:val="26"/>
        </w:rPr>
      </w:pPr>
    </w:p>
    <w:p w14:paraId="042C7374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На практике это часто приводит к призывам к людям отдавать так называемую десятину — десятую часть своего финансового дохода. Такая проповедь регулярно сопровождается обещаниями, что верные и щедрые, даже жертвенные пожертвования сделают относительно бедных людей процветающими. Однако на самом деле в этих стихах говорится не об этом, как я попытаюсь показать через минуту.</w:t>
      </w:r>
    </w:p>
    <w:p w14:paraId="3855ED1A" w14:textId="77777777" w:rsidR="002657F6" w:rsidRPr="00420769" w:rsidRDefault="002657F6">
      <w:pPr>
        <w:rPr>
          <w:sz w:val="26"/>
          <w:szCs w:val="26"/>
        </w:rPr>
      </w:pPr>
    </w:p>
    <w:p w14:paraId="5375CE9E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Скорее, я хочу доказать (и надеюсь, вы это увидите через минуту), что эти стихи не адресованы относительно бедным людям. Они адресованы совершенно конкретно, совершенно прямо и прямо </w:t>
      </w:r>
      <w:proofErr xmlns:w="http://schemas.openxmlformats.org/wordprocessingml/2006/main" w:type="spellStart"/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к </w:t>
      </w:r>
      <w:proofErr xmlns:w="http://schemas.openxmlformats.org/wordprocessingml/2006/main" w:type="spellEnd"/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богатым людям. Ибо в стихе 10 разъясняется, что их житницы (во множественном числе) и чаны (опять же во множественном числе) будут переполнены.</w:t>
      </w:r>
    </w:p>
    <w:p w14:paraId="69846ADF" w14:textId="77777777" w:rsidR="002657F6" w:rsidRPr="00420769" w:rsidRDefault="002657F6">
      <w:pPr>
        <w:rPr>
          <w:sz w:val="26"/>
          <w:szCs w:val="26"/>
        </w:rPr>
      </w:pPr>
    </w:p>
    <w:p w14:paraId="1804E74C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Так, собственный сарай или чан есть только у относительно обеспеченных людей. Те, у кого есть несколько амбаров и чанов, положительно богаты. Что это значит? Вместо того чтобы проповедовать Евангелие процветания бедным, эти стихи представляют собой подлинное Евангелие для богатых.</w:t>
      </w:r>
    </w:p>
    <w:p w14:paraId="0F2A12DF" w14:textId="77777777" w:rsidR="002657F6" w:rsidRPr="00420769" w:rsidRDefault="002657F6">
      <w:pPr>
        <w:rPr>
          <w:sz w:val="26"/>
          <w:szCs w:val="26"/>
        </w:rPr>
      </w:pPr>
    </w:p>
    <w:p w14:paraId="5C22BAB2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Те, у кого есть значительное богатство (у них уже есть несколько сараев и чанов только для того, чтобы содержать свой регулярный доход), поощряются ставить Бога на первое место в своей жизни, проявляя щедрость по отношению к другим. Мотивация такой переориентации и щедрости затем выражается в обещаниях. Амбары будут переполнены, контейнеры с вином наполнены до отказа.</w:t>
      </w:r>
    </w:p>
    <w:p w14:paraId="3B6115A8" w14:textId="77777777" w:rsidR="002657F6" w:rsidRPr="00420769" w:rsidRDefault="002657F6">
      <w:pPr>
        <w:rPr>
          <w:sz w:val="26"/>
          <w:szCs w:val="26"/>
        </w:rPr>
      </w:pPr>
    </w:p>
    <w:p w14:paraId="1688A374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И эти обещания подразумевают два связанных, но различных положительных результата. Первый результат заключается в том, что любое пожертвование на дело Божие не уменьшит богатство дающего, а увеличит его. Амбары и чаны не будут пустыми или наполовину полными, они будут полностью заполнены.</w:t>
      </w:r>
    </w:p>
    <w:p w14:paraId="12F34F51" w14:textId="77777777" w:rsidR="002657F6" w:rsidRPr="00420769" w:rsidRDefault="002657F6">
      <w:pPr>
        <w:rPr>
          <w:sz w:val="26"/>
          <w:szCs w:val="26"/>
        </w:rPr>
      </w:pPr>
    </w:p>
    <w:p w14:paraId="1B36966B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Даяние не умаляет дающего. Второй результат заключается в том, что такое пожертвование, напротив, обогащает дающего до уровня излишка без излишков. Амбаров и чанов не будет, извините, так что повторюсь, это обогащает дающего до уровня излишка без избытка.</w:t>
      </w:r>
    </w:p>
    <w:p w14:paraId="18353EFF" w14:textId="77777777" w:rsidR="002657F6" w:rsidRPr="00420769" w:rsidRDefault="002657F6">
      <w:pPr>
        <w:rPr>
          <w:sz w:val="26"/>
          <w:szCs w:val="26"/>
        </w:rPr>
      </w:pPr>
    </w:p>
    <w:p w14:paraId="4DBE71FC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Обещаются не новые амбары и чаны, которые будут наполняться все большим количеством зерна и вина, а переполнение, превышающее нынешний уровень процветания.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Пожалуй, здесь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мне следует добавить: это, конечно, не означает, что предприимчивые бизнесмены не должны стремиться к расширению своего бизнеса.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Но дело в том, что расширение бизнеса – это не самоцель, а средство достижения цели, позволяющей достичь способности и возможности стать еще более щедрым в будущем.</w:t>
      </w:r>
    </w:p>
    <w:p w14:paraId="1E27B6FA" w14:textId="77777777" w:rsidR="002657F6" w:rsidRPr="00420769" w:rsidRDefault="002657F6">
      <w:pPr>
        <w:rPr>
          <w:sz w:val="26"/>
          <w:szCs w:val="26"/>
        </w:rPr>
      </w:pPr>
    </w:p>
    <w:p w14:paraId="74A353E8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Речь идет не о накоплении еще большего богатства, а о том, чтобы дать дающему возможность стать еще более щедрым. Затем творческая интерпретация продолжится и задаст вопрос, гениально подсказанный этим таинственным изобилием. Что щедрому дающему делать с этим избытком состояния, превышающим его реальные потребности? Очевидный ответ, искусно встроенный в поэтический замысел этого удивительного совета, таков.</w:t>
      </w:r>
    </w:p>
    <w:p w14:paraId="38D6E93D" w14:textId="77777777" w:rsidR="002657F6" w:rsidRPr="00420769" w:rsidRDefault="002657F6">
      <w:pPr>
        <w:rPr>
          <w:sz w:val="26"/>
          <w:szCs w:val="26"/>
        </w:rPr>
      </w:pPr>
    </w:p>
    <w:p w14:paraId="27BE89AD" w14:textId="4D500DA1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Отдать это! Прославь этим Господа! Продолжайте добродетельный цикл изобильной щедрости, порождающей щедрое изобилие. Не для собственного обогащения, но для процветания сердца, прославляющего Бога через обогащение других. Как мы увидим в последующих лекциях, поэзия Ветхого Завета еврейской Библии обладает силой трогать, исцелять, бросать вызов и преобразовывать.</w:t>
      </w:r>
    </w:p>
    <w:p w14:paraId="53B47462" w14:textId="77777777" w:rsidR="002657F6" w:rsidRPr="00420769" w:rsidRDefault="002657F6">
      <w:pPr>
        <w:rPr>
          <w:sz w:val="26"/>
          <w:szCs w:val="26"/>
        </w:rPr>
      </w:pPr>
    </w:p>
    <w:p w14:paraId="4CE1B8D4" w14:textId="1FB1E616" w:rsidR="002657F6" w:rsidRPr="00420769" w:rsidRDefault="0042076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этой поэзии мы также увидели потребности, чтение такой поэзии требует умения, воображения и мудрости. Эти интерпретационные достоинства даются нелегко. Им нужна тяжелая работа, целеустремленность и настойчивость.</w:t>
      </w:r>
    </w:p>
    <w:p w14:paraId="0A7C8612" w14:textId="77777777" w:rsidR="002657F6" w:rsidRPr="00420769" w:rsidRDefault="002657F6">
      <w:pPr>
        <w:rPr>
          <w:sz w:val="26"/>
          <w:szCs w:val="26"/>
        </w:rPr>
      </w:pPr>
    </w:p>
    <w:p w14:paraId="663006FA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Но плоды таких инвестиций в навыки интерпретации будут обильными и полезными. Они могут принести настоящие и долгосрочные перемены для нас самих и для общего блага. Возможно, я хочу добавить сюда еще одну вещь.</w:t>
      </w:r>
    </w:p>
    <w:p w14:paraId="5B8885A0" w14:textId="77777777" w:rsidR="002657F6" w:rsidRPr="00420769" w:rsidRDefault="002657F6">
      <w:pPr>
        <w:rPr>
          <w:sz w:val="26"/>
          <w:szCs w:val="26"/>
        </w:rPr>
      </w:pPr>
    </w:p>
    <w:p w14:paraId="1F7B3F0B" w14:textId="06D4B02A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Я читаю эту лекцию, пытаясь убедиться, что все наши слушатели осознают, что это актуально как для христиан, так и для евреев в современном мире. Но я также, конечно, будучи рукоположенным пастором методистской церкви и преподавателем в христианской семинарии, я также говорю как христианский богослов и христианский академик. И теперь я хочу поместить большую часть того, чем я делюсь в этих лекциях о Книге Притчей, в более широкий герменевтический контекст относительно того, какую роль еврейская Библия, еврейская еврейская Библия и христианский Ветхий Завет играют сегодня для современных христиан.</w:t>
      </w:r>
    </w:p>
    <w:p w14:paraId="562E3C65" w14:textId="77777777" w:rsidR="002657F6" w:rsidRPr="00420769" w:rsidRDefault="002657F6">
      <w:pPr>
        <w:rPr>
          <w:sz w:val="26"/>
          <w:szCs w:val="26"/>
        </w:rPr>
      </w:pPr>
    </w:p>
    <w:p w14:paraId="46CFDFC2" w14:textId="60AC9996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И в некоторой степени, конечно, также и для современных верующих евреев сегодня. И эти высказывания я хочу поместить в рубрику несколько провокационные и нарочито провокационные, но и какие-то ироничные, какие-то беззаботные, юмористические заявления. Для меня Ветхий Завет – это Новый Завет.</w:t>
      </w:r>
    </w:p>
    <w:p w14:paraId="2FC7F2FD" w14:textId="77777777" w:rsidR="002657F6" w:rsidRPr="00420769" w:rsidRDefault="002657F6">
      <w:pPr>
        <w:rPr>
          <w:sz w:val="26"/>
          <w:szCs w:val="26"/>
        </w:rPr>
      </w:pPr>
    </w:p>
    <w:p w14:paraId="24C1A1C3" w14:textId="5E7170A8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Позвольте мне сказать это еще раз. Ветхий Завет – это Новый Завет. Что я имею в виду? Что ж, Новый Завет писался в течение примерно 100 лет теми, кто знал воплощенного Иисуса лично или, по крайней мере, знал людей, знавших Иисуса из первых рук.</w:t>
      </w:r>
    </w:p>
    <w:p w14:paraId="3367851D" w14:textId="77777777" w:rsidR="002657F6" w:rsidRPr="00420769" w:rsidRDefault="002657F6">
      <w:pPr>
        <w:rPr>
          <w:sz w:val="26"/>
          <w:szCs w:val="26"/>
        </w:rPr>
      </w:pPr>
    </w:p>
    <w:p w14:paraId="256A8A1F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Все они писали с точки зрения скорого возвращения Иисуса, на что намекают Евангелия, например, в Евангелиях от Матфея 16, стих 28, или от Луки 9, стих 27. С этой точки зрения имела значение только будущая жизнь, вечность на небесах. Как говорит Павел в Послании к Колоссянам 3, стих 2, помышляйте о горнем, а не о земном, ибо вы умерли, и жизнь ваша сокрыта со Христом в Боге.</w:t>
      </w:r>
    </w:p>
    <w:p w14:paraId="03417FE9" w14:textId="77777777" w:rsidR="002657F6" w:rsidRPr="00420769" w:rsidRDefault="002657F6">
      <w:pPr>
        <w:rPr>
          <w:sz w:val="26"/>
          <w:szCs w:val="26"/>
        </w:rPr>
      </w:pPr>
    </w:p>
    <w:p w14:paraId="02D4CD6A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В свете воскресения проблемы и возможности земной жизни казались второстепенными. Павел, я считаю, что страдания нынешнего времени не стоят сравнения со славой, которая вот-вот откроется нам. Римлянам 8, стих 17.</w:t>
      </w:r>
    </w:p>
    <w:p w14:paraId="38D8FEBA" w14:textId="77777777" w:rsidR="002657F6" w:rsidRPr="00420769" w:rsidRDefault="002657F6">
      <w:pPr>
        <w:rPr>
          <w:sz w:val="26"/>
          <w:szCs w:val="26"/>
        </w:rPr>
      </w:pPr>
    </w:p>
    <w:p w14:paraId="77B0FE47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Таким образом, большая часть Нового Завета была написана для того, чтобы подготовить читателей к раю. Руководство о том, как жить верно здесь и сейчас, было второстепенным, поскольку у нас нет постоянного города, но мы ищем город, который придет. Евреям 13, стих 14.</w:t>
      </w:r>
    </w:p>
    <w:p w14:paraId="5C17E4C0" w14:textId="77777777" w:rsidR="002657F6" w:rsidRPr="00420769" w:rsidRDefault="002657F6">
      <w:pPr>
        <w:rPr>
          <w:sz w:val="26"/>
          <w:szCs w:val="26"/>
        </w:rPr>
      </w:pPr>
    </w:p>
    <w:p w14:paraId="1BAF7670" w14:textId="40FBBB4B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Напротив, Ветхий Завет, Библия Иисуса и учеников писались на протяжении примерно 1000 лет. Оно было написано сообществом верующих и для него, которые на протяжении большей части своего существования составляли осажденное меньшинство, окруженное могущественными противниками. В нем описываются взлеты и падения духовных и физических дефектов и побед людей.</w:t>
      </w:r>
    </w:p>
    <w:p w14:paraId="355F749D" w14:textId="77777777" w:rsidR="002657F6" w:rsidRPr="00420769" w:rsidRDefault="002657F6">
      <w:pPr>
        <w:rPr>
          <w:sz w:val="26"/>
          <w:szCs w:val="26"/>
        </w:rPr>
      </w:pPr>
    </w:p>
    <w:p w14:paraId="2A098147" w14:textId="67152C83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Он рисует яркую картину борьбы и триумфов бесчисленных людей, великих героев и героинь веры на протяжении многих поколений. В нем представлены песни радости по поводу божественных благословений и плач скорби по поводу божественного суда. Он предлагает нам заглянуть в самые глубокие чувства и страхи, в величайшие радости и прозрения, а также в непревзойденную мудрость великих мыслителей, таких как авторы Книги Притчей.</w:t>
      </w:r>
    </w:p>
    <w:p w14:paraId="49B15D41" w14:textId="77777777" w:rsidR="002657F6" w:rsidRPr="00420769" w:rsidRDefault="002657F6">
      <w:pPr>
        <w:rPr>
          <w:sz w:val="26"/>
          <w:szCs w:val="26"/>
        </w:rPr>
      </w:pPr>
    </w:p>
    <w:p w14:paraId="345365FF" w14:textId="2ED9F68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Короче говоря, Ветхий Завет описывает жизнь веры народа Божьего на протяжении всей истории. И в этом заключается ее актуальность для современной христианской веры и практики. Христианская церковь существует уже почти 2000 лет.</w:t>
      </w:r>
    </w:p>
    <w:p w14:paraId="7E7CCA3D" w14:textId="77777777" w:rsidR="002657F6" w:rsidRPr="00420769" w:rsidRDefault="002657F6">
      <w:pPr>
        <w:rPr>
          <w:sz w:val="26"/>
          <w:szCs w:val="26"/>
        </w:rPr>
      </w:pPr>
    </w:p>
    <w:p w14:paraId="146787DD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На протяжении большей части своей истории оно было осажденным меньшинством, подобно древнему Израилю. Хотя это не было верно для Европы примерно с 300 г. по 1900 г. н. э. и для Северной Америки с 18 века до наших дней, это, безусловно, было верно для большей части мира на протяжении большей части истории христианства. Это верно для сегодняшней Западной Европы и по-прежнему справедливо для многих частей Африки и Азии.</w:t>
      </w:r>
    </w:p>
    <w:p w14:paraId="62D3ECF2" w14:textId="77777777" w:rsidR="002657F6" w:rsidRPr="00420769" w:rsidRDefault="002657F6">
      <w:pPr>
        <w:rPr>
          <w:sz w:val="26"/>
          <w:szCs w:val="26"/>
        </w:rPr>
      </w:pPr>
    </w:p>
    <w:p w14:paraId="7735DA93" w14:textId="77777777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Церковь пережила чудесные триумфы и трагические поражения, подобно древнему Израилю. Церковь принесла человечеству великие достижения, подобно древнему Израилю. Церковь совершила великие грехи, подобно древнему Израилю.</w:t>
      </w:r>
    </w:p>
    <w:p w14:paraId="680F315C" w14:textId="77777777" w:rsidR="002657F6" w:rsidRPr="00420769" w:rsidRDefault="002657F6">
      <w:pPr>
        <w:rPr>
          <w:sz w:val="26"/>
          <w:szCs w:val="26"/>
        </w:rPr>
      </w:pPr>
    </w:p>
    <w:p w14:paraId="29E58F48" w14:textId="78B47CA9" w:rsidR="002657F6" w:rsidRPr="004207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Он разделяет с современным иудаизмом одно из величайших сокровищ человечества — еврейскую Библию, Ветхий Завет и Новый Завет. Для Церкви, как и для древнего </w:t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Израиля и современного иудаизма, Ветхий Завет и особенно его поэзия являются вдохновением для хорошей жизни, для выживания среди несправедливости и страданий, для смирения среди человеческого </w:t>
      </w:r>
      <w:r xmlns:w="http://schemas.openxmlformats.org/wordprocessingml/2006/main" w:rsidR="00420769">
        <w:rPr>
          <w:rFonts w:ascii="Calibri" w:eastAsia="Calibri" w:hAnsi="Calibri" w:cs="Calibri"/>
          <w:sz w:val="26"/>
          <w:szCs w:val="26"/>
        </w:rPr>
        <w:t xml:space="preserve">самовозвеличивания и на жизнь в служении общему благу. Это доктор Кнут Хайм в своем учении по книге Притчей.</w:t>
      </w:r>
    </w:p>
    <w:p w14:paraId="66B69678" w14:textId="77777777" w:rsidR="002657F6" w:rsidRPr="00420769" w:rsidRDefault="002657F6">
      <w:pPr>
        <w:rPr>
          <w:sz w:val="26"/>
          <w:szCs w:val="26"/>
        </w:rPr>
      </w:pPr>
    </w:p>
    <w:p w14:paraId="05B76738" w14:textId="44BCBE0A" w:rsidR="002657F6" w:rsidRPr="00420769" w:rsidRDefault="00000000" w:rsidP="004207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0769">
        <w:rPr>
          <w:rFonts w:ascii="Calibri" w:eastAsia="Calibri" w:hAnsi="Calibri" w:cs="Calibri"/>
          <w:sz w:val="26"/>
          <w:szCs w:val="26"/>
        </w:rPr>
        <w:t xml:space="preserve">Это занятие номер пять, основные моменты из Притчей 1–9.</w:t>
      </w:r>
    </w:p>
    <w:sectPr w:rsidR="002657F6" w:rsidRPr="0042076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2274" w14:textId="77777777" w:rsidR="009F61C5" w:rsidRDefault="009F61C5" w:rsidP="00420769">
      <w:r>
        <w:separator/>
      </w:r>
    </w:p>
  </w:endnote>
  <w:endnote w:type="continuationSeparator" w:id="0">
    <w:p w14:paraId="2CD71EDC" w14:textId="77777777" w:rsidR="009F61C5" w:rsidRDefault="009F61C5" w:rsidP="0042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FDEC" w14:textId="77777777" w:rsidR="009F61C5" w:rsidRDefault="009F61C5" w:rsidP="00420769">
      <w:r>
        <w:separator/>
      </w:r>
    </w:p>
  </w:footnote>
  <w:footnote w:type="continuationSeparator" w:id="0">
    <w:p w14:paraId="45B0AFF7" w14:textId="77777777" w:rsidR="009F61C5" w:rsidRDefault="009F61C5" w:rsidP="0042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2289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ABF8C5" w14:textId="6A75A8DE" w:rsidR="00420769" w:rsidRDefault="0042076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4C1AD7E" w14:textId="77777777" w:rsidR="00420769" w:rsidRDefault="00420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3A7"/>
    <w:multiLevelType w:val="hybridMultilevel"/>
    <w:tmpl w:val="AB545410"/>
    <w:lvl w:ilvl="0" w:tplc="4636F8B2">
      <w:start w:val="1"/>
      <w:numFmt w:val="bullet"/>
      <w:lvlText w:val="●"/>
      <w:lvlJc w:val="left"/>
      <w:pPr>
        <w:ind w:left="720" w:hanging="360"/>
      </w:pPr>
    </w:lvl>
    <w:lvl w:ilvl="1" w:tplc="67185914">
      <w:start w:val="1"/>
      <w:numFmt w:val="bullet"/>
      <w:lvlText w:val="○"/>
      <w:lvlJc w:val="left"/>
      <w:pPr>
        <w:ind w:left="1440" w:hanging="360"/>
      </w:pPr>
    </w:lvl>
    <w:lvl w:ilvl="2" w:tplc="D7C2D018">
      <w:start w:val="1"/>
      <w:numFmt w:val="bullet"/>
      <w:lvlText w:val="■"/>
      <w:lvlJc w:val="left"/>
      <w:pPr>
        <w:ind w:left="2160" w:hanging="360"/>
      </w:pPr>
    </w:lvl>
    <w:lvl w:ilvl="3" w:tplc="C56421DA">
      <w:start w:val="1"/>
      <w:numFmt w:val="bullet"/>
      <w:lvlText w:val="●"/>
      <w:lvlJc w:val="left"/>
      <w:pPr>
        <w:ind w:left="2880" w:hanging="360"/>
      </w:pPr>
    </w:lvl>
    <w:lvl w:ilvl="4" w:tplc="FCB0A284">
      <w:start w:val="1"/>
      <w:numFmt w:val="bullet"/>
      <w:lvlText w:val="○"/>
      <w:lvlJc w:val="left"/>
      <w:pPr>
        <w:ind w:left="3600" w:hanging="360"/>
      </w:pPr>
    </w:lvl>
    <w:lvl w:ilvl="5" w:tplc="1954305C">
      <w:start w:val="1"/>
      <w:numFmt w:val="bullet"/>
      <w:lvlText w:val="■"/>
      <w:lvlJc w:val="left"/>
      <w:pPr>
        <w:ind w:left="4320" w:hanging="360"/>
      </w:pPr>
    </w:lvl>
    <w:lvl w:ilvl="6" w:tplc="C7CA0F04">
      <w:start w:val="1"/>
      <w:numFmt w:val="bullet"/>
      <w:lvlText w:val="●"/>
      <w:lvlJc w:val="left"/>
      <w:pPr>
        <w:ind w:left="5040" w:hanging="360"/>
      </w:pPr>
    </w:lvl>
    <w:lvl w:ilvl="7" w:tplc="64022AD0">
      <w:start w:val="1"/>
      <w:numFmt w:val="bullet"/>
      <w:lvlText w:val="●"/>
      <w:lvlJc w:val="left"/>
      <w:pPr>
        <w:ind w:left="5760" w:hanging="360"/>
      </w:pPr>
    </w:lvl>
    <w:lvl w:ilvl="8" w:tplc="CAE8C830">
      <w:start w:val="1"/>
      <w:numFmt w:val="bullet"/>
      <w:lvlText w:val="●"/>
      <w:lvlJc w:val="left"/>
      <w:pPr>
        <w:ind w:left="6480" w:hanging="360"/>
      </w:pPr>
    </w:lvl>
  </w:abstractNum>
  <w:num w:numId="1" w16cid:durableId="8208042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F6"/>
    <w:rsid w:val="002657F6"/>
    <w:rsid w:val="00420769"/>
    <w:rsid w:val="009F61C5"/>
    <w:rsid w:val="00DF0B62"/>
    <w:rsid w:val="00F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04A4D"/>
  <w15:docId w15:val="{1B87B294-12C7-44ED-B9B1-EA244D84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769"/>
  </w:style>
  <w:style w:type="paragraph" w:styleId="Footer">
    <w:name w:val="footer"/>
    <w:basedOn w:val="Normal"/>
    <w:link w:val="FooterChar"/>
    <w:uiPriority w:val="99"/>
    <w:unhideWhenUsed/>
    <w:rsid w:val="0042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2356</Words>
  <Characters>11432</Characters>
  <Application>Microsoft Office Word</Application>
  <DocSecurity>0</DocSecurity>
  <Lines>225</Lines>
  <Paragraphs>41</Paragraphs>
  <ScaleCrop>false</ScaleCrop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 Prov Lec05 HighlightsProv1-9</dc:title>
  <dc:creator>TurboScribe.ai</dc:creator>
  <cp:lastModifiedBy>Ted Hildebrandt</cp:lastModifiedBy>
  <cp:revision>3</cp:revision>
  <dcterms:created xsi:type="dcterms:W3CDTF">2024-02-12T14:50:00Z</dcterms:created>
  <dcterms:modified xsi:type="dcterms:W3CDTF">2024-02-18T13:10:00Z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9aa6ff8e75997c2c277373015267fa609ecb6888501a689b827d839e29b1ce26</vt:lpwstr>
  </property>
</Properties>
</file>