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42D" w:rsidRPr="00B9442D" w:rsidRDefault="00B9442D" w:rsidP="00425BAA">
      <w:pPr>
        <w:pStyle w:val="Header"/>
        <w:tabs>
          <w:tab w:val="clear" w:pos="4320"/>
          <w:tab w:val="clear" w:pos="8640"/>
          <w:tab w:val="right" w:pos="9720"/>
        </w:tabs>
        <w:spacing w:line="360" w:lineRule="auto"/>
        <w:ind w:left="-360"/>
        <w:rPr>
          <w:rFonts w:ascii="Times New Roman" w:eastAsia="MS Gothic" w:hAnsi="Times New Roman" w:cs="Times New Roman"/>
          <w:b/>
          <w:sz w:val="28"/>
          <w:szCs w:val="26"/>
        </w:rPr>
      </w:pPr>
      <w:r>
        <w:rPr>
          <w:rFonts w:ascii="Times New Roman" w:eastAsia="MS Gothic" w:hAnsi="Times New Roman" w:cs="Times New Roman"/>
          <w:b/>
          <w:sz w:val="28"/>
          <w:szCs w:val="26"/>
        </w:rPr>
        <w:t xml:space="preserve">                          </w:t>
      </w:r>
      <w:r w:rsidRPr="00B9442D">
        <w:rPr>
          <w:rFonts w:ascii="Times New Roman" w:eastAsia="MS Gothic" w:hAnsi="Times New Roman" w:cs="Times New Roman"/>
          <w:b/>
          <w:sz w:val="28"/>
          <w:szCs w:val="26"/>
        </w:rPr>
        <w:t xml:space="preserve">  </w:t>
      </w:r>
      <w:r w:rsidR="00C63A79">
        <w:rPr>
          <w:rFonts w:ascii="Times New Roman" w:eastAsia="MS Gothic" w:hAnsi="Times New Roman" w:cs="Times New Roman"/>
          <w:b/>
          <w:sz w:val="28"/>
          <w:szCs w:val="26"/>
        </w:rPr>
        <w:t xml:space="preserve">       </w:t>
      </w:r>
      <w:r>
        <w:rPr>
          <w:rFonts w:ascii="Times New Roman" w:eastAsia="MS Gothic" w:hAnsi="Times New Roman" w:cs="Times New Roman"/>
          <w:b/>
          <w:sz w:val="28"/>
          <w:szCs w:val="26"/>
        </w:rPr>
        <w:t xml:space="preserve">Robert </w:t>
      </w:r>
      <w:proofErr w:type="spellStart"/>
      <w:r w:rsidRPr="00B9442D">
        <w:rPr>
          <w:rFonts w:ascii="Times New Roman" w:eastAsia="MS Gothic" w:hAnsi="Times New Roman" w:cs="Times New Roman"/>
          <w:b/>
          <w:sz w:val="28"/>
          <w:szCs w:val="26"/>
        </w:rPr>
        <w:t>Vannoy</w:t>
      </w:r>
      <w:proofErr w:type="spellEnd"/>
      <w:r w:rsidRPr="00B9442D">
        <w:rPr>
          <w:rFonts w:ascii="Times New Roman" w:eastAsia="MS Gothic" w:hAnsi="Times New Roman" w:cs="Times New Roman"/>
          <w:b/>
          <w:sz w:val="28"/>
          <w:szCs w:val="26"/>
        </w:rPr>
        <w:t>, Deuteronomy Lecture 15</w:t>
      </w:r>
    </w:p>
    <w:p w:rsidR="0015728A" w:rsidRPr="00325C97" w:rsidRDefault="0015728A" w:rsidP="00425BAA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63A79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C97">
        <w:rPr>
          <w:rFonts w:ascii="Times New Roman" w:hAnsi="Times New Roman" w:cs="Times New Roman"/>
          <w:sz w:val="20"/>
          <w:szCs w:val="20"/>
        </w:rPr>
        <w:t xml:space="preserve">© 2011 Dr. Robert </w:t>
      </w:r>
      <w:proofErr w:type="spellStart"/>
      <w:r w:rsidRPr="00325C97">
        <w:rPr>
          <w:rFonts w:ascii="Times New Roman" w:hAnsi="Times New Roman" w:cs="Times New Roman"/>
          <w:sz w:val="20"/>
          <w:szCs w:val="20"/>
        </w:rPr>
        <w:t>Vannoy</w:t>
      </w:r>
      <w:proofErr w:type="spellEnd"/>
      <w:r w:rsidRPr="00325C97">
        <w:rPr>
          <w:rFonts w:ascii="Times New Roman" w:hAnsi="Times New Roman" w:cs="Times New Roman"/>
          <w:sz w:val="20"/>
          <w:szCs w:val="20"/>
        </w:rPr>
        <w:t>, Dr. Perry Phillips, Ted Hildebrandt</w:t>
      </w:r>
    </w:p>
    <w:p w:rsidR="001A0503" w:rsidRDefault="001A0503" w:rsidP="001A050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</w:t>
      </w:r>
      <w:r w:rsidRPr="001A0503">
        <w:rPr>
          <w:rFonts w:ascii="Times New Roman" w:hAnsi="Times New Roman" w:cs="Times New Roman"/>
          <w:b/>
          <w:bCs/>
          <w:sz w:val="26"/>
          <w:szCs w:val="26"/>
        </w:rPr>
        <w:t>Altars, Summary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A0503">
        <w:rPr>
          <w:rFonts w:ascii="Times New Roman" w:hAnsi="Times New Roman" w:cs="Times New Roman"/>
          <w:b/>
          <w:bCs/>
          <w:sz w:val="26"/>
          <w:szCs w:val="26"/>
        </w:rPr>
        <w:t>[Final Lecture]</w:t>
      </w:r>
    </w:p>
    <w:p w:rsidR="001A0503" w:rsidRPr="001A0503" w:rsidRDefault="001A0503" w:rsidP="001A050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A0503">
        <w:rPr>
          <w:rFonts w:ascii="Times New Roman" w:hAnsi="Times New Roman" w:cs="Times New Roman"/>
          <w:sz w:val="26"/>
          <w:szCs w:val="26"/>
        </w:rPr>
        <w:t xml:space="preserve">1.  Uncut Stone Altars:  Exodus 20:24-26  </w:t>
      </w:r>
    </w:p>
    <w:p w:rsidR="004C4DE3" w:rsidRDefault="0015728A" w:rsidP="001A050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C27E37" w:rsidRPr="00B9442D">
        <w:rPr>
          <w:rFonts w:ascii="Times New Roman" w:hAnsi="Times New Roman" w:cs="Times New Roman"/>
          <w:sz w:val="26"/>
          <w:szCs w:val="26"/>
        </w:rPr>
        <w:t xml:space="preserve">Why only earth 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and </w:t>
      </w:r>
      <w:r w:rsidR="00C27E37" w:rsidRPr="00B9442D">
        <w:rPr>
          <w:rFonts w:ascii="Times New Roman" w:hAnsi="Times New Roman" w:cs="Times New Roman"/>
          <w:sz w:val="26"/>
          <w:szCs w:val="26"/>
        </w:rPr>
        <w:t>uncu</w:t>
      </w:r>
      <w:r w:rsidR="00E61660" w:rsidRPr="00B9442D">
        <w:rPr>
          <w:rFonts w:ascii="Times New Roman" w:hAnsi="Times New Roman" w:cs="Times New Roman"/>
          <w:sz w:val="26"/>
          <w:szCs w:val="26"/>
        </w:rPr>
        <w:t>t stones for construction of alt</w:t>
      </w:r>
      <w:r w:rsidR="00B9442D" w:rsidRPr="00B9442D">
        <w:rPr>
          <w:rFonts w:ascii="Times New Roman" w:hAnsi="Times New Roman" w:cs="Times New Roman"/>
          <w:sz w:val="26"/>
          <w:szCs w:val="26"/>
        </w:rPr>
        <w:t>a</w:t>
      </w:r>
      <w:r w:rsidR="00E61660" w:rsidRPr="00B9442D">
        <w:rPr>
          <w:rFonts w:ascii="Times New Roman" w:hAnsi="Times New Roman" w:cs="Times New Roman"/>
          <w:sz w:val="26"/>
          <w:szCs w:val="26"/>
        </w:rPr>
        <w:t>rs</w:t>
      </w:r>
      <w:r w:rsidR="00425BAA">
        <w:rPr>
          <w:rFonts w:ascii="Times New Roman" w:hAnsi="Times New Roman" w:cs="Times New Roman"/>
          <w:sz w:val="26"/>
          <w:szCs w:val="26"/>
        </w:rPr>
        <w:t>?</w:t>
      </w:r>
      <w:r w:rsidR="00C27E37" w:rsidRPr="00B9442D">
        <w:rPr>
          <w:rFonts w:ascii="Times New Roman" w:hAnsi="Times New Roman" w:cs="Times New Roman"/>
          <w:sz w:val="26"/>
          <w:szCs w:val="26"/>
        </w:rPr>
        <w:t xml:space="preserve"> Was that meant </w:t>
      </w:r>
      <w:r w:rsidR="00425BAA">
        <w:rPr>
          <w:rFonts w:ascii="Times New Roman" w:hAnsi="Times New Roman" w:cs="Times New Roman"/>
          <w:sz w:val="26"/>
          <w:szCs w:val="26"/>
        </w:rPr>
        <w:t xml:space="preserve">only </w:t>
      </w:r>
      <w:r w:rsidR="00C27E37" w:rsidRPr="00B9442D">
        <w:rPr>
          <w:rFonts w:ascii="Times New Roman" w:hAnsi="Times New Roman" w:cs="Times New Roman"/>
          <w:sz w:val="26"/>
          <w:szCs w:val="26"/>
        </w:rPr>
        <w:t xml:space="preserve">for </w:t>
      </w:r>
      <w:r w:rsidR="00425BAA">
        <w:rPr>
          <w:rFonts w:ascii="Times New Roman" w:hAnsi="Times New Roman" w:cs="Times New Roman"/>
          <w:sz w:val="26"/>
          <w:szCs w:val="26"/>
        </w:rPr>
        <w:t>the</w:t>
      </w:r>
      <w:r w:rsidR="00C27E37" w:rsidRPr="00B9442D">
        <w:rPr>
          <w:rFonts w:ascii="Times New Roman" w:hAnsi="Times New Roman" w:cs="Times New Roman"/>
          <w:sz w:val="26"/>
          <w:szCs w:val="26"/>
        </w:rPr>
        <w:t xml:space="preserve"> wilderness? </w:t>
      </w:r>
      <w:r w:rsidR="00425BAA">
        <w:rPr>
          <w:rFonts w:ascii="Times New Roman" w:hAnsi="Times New Roman" w:cs="Times New Roman"/>
          <w:sz w:val="26"/>
          <w:szCs w:val="26"/>
        </w:rPr>
        <w:t xml:space="preserve">Hobart </w:t>
      </w:r>
      <w:r w:rsidR="00370225" w:rsidRPr="00B9442D">
        <w:rPr>
          <w:rFonts w:ascii="Times New Roman" w:hAnsi="Times New Roman" w:cs="Times New Roman"/>
          <w:sz w:val="26"/>
          <w:szCs w:val="26"/>
        </w:rPr>
        <w:t>p</w:t>
      </w:r>
      <w:r w:rsidR="00A54A2E" w:rsidRPr="00B9442D">
        <w:rPr>
          <w:rFonts w:ascii="Times New Roman" w:hAnsi="Times New Roman" w:cs="Times New Roman"/>
          <w:sz w:val="26"/>
          <w:szCs w:val="26"/>
        </w:rPr>
        <w:t>oints out that it is not</w:t>
      </w:r>
      <w:r w:rsidR="00C27E37" w:rsidRPr="00B9442D">
        <w:rPr>
          <w:rFonts w:ascii="Times New Roman" w:hAnsi="Times New Roman" w:cs="Times New Roman"/>
          <w:sz w:val="26"/>
          <w:szCs w:val="26"/>
        </w:rPr>
        <w:t xml:space="preserve"> reasonable </w:t>
      </w:r>
      <w:r w:rsidR="00716ACB" w:rsidRPr="00B9442D">
        <w:rPr>
          <w:rFonts w:ascii="Times New Roman" w:hAnsi="Times New Roman" w:cs="Times New Roman"/>
          <w:sz w:val="26"/>
          <w:szCs w:val="26"/>
        </w:rPr>
        <w:t>to conclude that this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 is </w:t>
      </w:r>
      <w:r w:rsidR="00E87BBC">
        <w:rPr>
          <w:rFonts w:ascii="Times New Roman" w:hAnsi="Times New Roman" w:cs="Times New Roman"/>
          <w:sz w:val="26"/>
          <w:szCs w:val="26"/>
        </w:rPr>
        <w:t xml:space="preserve">a </w:t>
      </w:r>
      <w:r w:rsidR="00A54A2E" w:rsidRPr="00B9442D">
        <w:rPr>
          <w:rFonts w:ascii="Times New Roman" w:hAnsi="Times New Roman" w:cs="Times New Roman"/>
          <w:sz w:val="26"/>
          <w:szCs w:val="26"/>
        </w:rPr>
        <w:t>reference only to the wilderness</w:t>
      </w:r>
      <w:r w:rsidR="002C400B">
        <w:rPr>
          <w:rFonts w:ascii="Times New Roman" w:hAnsi="Times New Roman" w:cs="Times New Roman"/>
          <w:sz w:val="26"/>
          <w:szCs w:val="26"/>
        </w:rPr>
        <w:t>;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 it was meant for the time after entrance into Canaan. This was the kind of alt</w:t>
      </w:r>
      <w:r w:rsidR="00425BAA">
        <w:rPr>
          <w:rFonts w:ascii="Times New Roman" w:hAnsi="Times New Roman" w:cs="Times New Roman"/>
          <w:sz w:val="26"/>
          <w:szCs w:val="26"/>
        </w:rPr>
        <w:t>a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r that was to be used. </w:t>
      </w:r>
      <w:r w:rsidR="00425BAA">
        <w:rPr>
          <w:rFonts w:ascii="Times New Roman" w:hAnsi="Times New Roman" w:cs="Times New Roman"/>
          <w:sz w:val="26"/>
          <w:szCs w:val="26"/>
        </w:rPr>
        <w:t>In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 fact</w:t>
      </w:r>
      <w:r w:rsidR="00425BAA">
        <w:rPr>
          <w:rFonts w:ascii="Times New Roman" w:hAnsi="Times New Roman" w:cs="Times New Roman"/>
          <w:sz w:val="26"/>
          <w:szCs w:val="26"/>
        </w:rPr>
        <w:t>,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2C400B">
        <w:rPr>
          <w:rFonts w:ascii="Times New Roman" w:hAnsi="Times New Roman" w:cs="Times New Roman"/>
          <w:sz w:val="26"/>
          <w:szCs w:val="26"/>
        </w:rPr>
        <w:t>instructions for the altar were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 given in Exodus 20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right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87BBC">
        <w:rPr>
          <w:rFonts w:ascii="Times New Roman" w:hAnsi="Times New Roman" w:cs="Times New Roman"/>
          <w:sz w:val="26"/>
          <w:szCs w:val="26"/>
        </w:rPr>
        <w:t>at</w:t>
      </w:r>
      <w:r w:rsidR="00A54A2E" w:rsidRPr="00B9442D">
        <w:rPr>
          <w:rFonts w:ascii="Times New Roman" w:hAnsi="Times New Roman" w:cs="Times New Roman"/>
          <w:sz w:val="26"/>
          <w:szCs w:val="26"/>
        </w:rPr>
        <w:t xml:space="preserve"> Mt. Sinai</w:t>
      </w:r>
      <w:r w:rsidR="002C400B">
        <w:rPr>
          <w:rFonts w:ascii="Times New Roman" w:hAnsi="Times New Roman" w:cs="Times New Roman"/>
          <w:sz w:val="26"/>
          <w:szCs w:val="26"/>
        </w:rPr>
        <w:t>;</w:t>
      </w:r>
      <w:r w:rsidR="003B75D1" w:rsidRPr="00B9442D">
        <w:rPr>
          <w:rFonts w:ascii="Times New Roman" w:hAnsi="Times New Roman" w:cs="Times New Roman"/>
          <w:sz w:val="26"/>
          <w:szCs w:val="26"/>
        </w:rPr>
        <w:t xml:space="preserve"> there is no thought at that point of </w:t>
      </w:r>
      <w:r w:rsidR="00716ACB" w:rsidRPr="00B9442D">
        <w:rPr>
          <w:rFonts w:ascii="Times New Roman" w:hAnsi="Times New Roman" w:cs="Times New Roman"/>
          <w:sz w:val="26"/>
          <w:szCs w:val="26"/>
        </w:rPr>
        <w:t>40 years in t</w:t>
      </w:r>
      <w:r w:rsidR="00370225" w:rsidRPr="00B9442D">
        <w:rPr>
          <w:rFonts w:ascii="Times New Roman" w:hAnsi="Times New Roman" w:cs="Times New Roman"/>
          <w:sz w:val="26"/>
          <w:szCs w:val="26"/>
        </w:rPr>
        <w:t>he wilderness</w:t>
      </w:r>
      <w:r w:rsidR="00E87BBC">
        <w:rPr>
          <w:rFonts w:ascii="Times New Roman" w:hAnsi="Times New Roman" w:cs="Times New Roman"/>
          <w:sz w:val="26"/>
          <w:szCs w:val="26"/>
        </w:rPr>
        <w:t>. T</w:t>
      </w:r>
      <w:r w:rsidR="00370225" w:rsidRPr="00B9442D">
        <w:rPr>
          <w:rFonts w:ascii="Times New Roman" w:hAnsi="Times New Roman" w:cs="Times New Roman"/>
          <w:sz w:val="26"/>
          <w:szCs w:val="26"/>
        </w:rPr>
        <w:t>he golden ca</w:t>
      </w:r>
      <w:r w:rsidR="00425BAA">
        <w:rPr>
          <w:rFonts w:ascii="Times New Roman" w:hAnsi="Times New Roman" w:cs="Times New Roman"/>
          <w:sz w:val="26"/>
          <w:szCs w:val="26"/>
        </w:rPr>
        <w:t>l</w:t>
      </w:r>
      <w:r w:rsidR="00370225" w:rsidRPr="00B9442D">
        <w:rPr>
          <w:rFonts w:ascii="Times New Roman" w:hAnsi="Times New Roman" w:cs="Times New Roman"/>
          <w:sz w:val="26"/>
          <w:szCs w:val="26"/>
        </w:rPr>
        <w:t xml:space="preserve">f </w:t>
      </w:r>
      <w:r w:rsidR="00425BAA">
        <w:rPr>
          <w:rFonts w:ascii="Times New Roman" w:hAnsi="Times New Roman" w:cs="Times New Roman"/>
          <w:sz w:val="26"/>
          <w:szCs w:val="26"/>
        </w:rPr>
        <w:t>apostasy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had not occurred</w:t>
      </w:r>
      <w:r w:rsidR="002C400B">
        <w:rPr>
          <w:rFonts w:ascii="Times New Roman" w:hAnsi="Times New Roman" w:cs="Times New Roman"/>
          <w:sz w:val="26"/>
          <w:szCs w:val="26"/>
        </w:rPr>
        <w:t>;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the law</w:t>
      </w:r>
      <w:r w:rsidR="00E87BBC">
        <w:rPr>
          <w:rFonts w:ascii="Times New Roman" w:hAnsi="Times New Roman" w:cs="Times New Roman"/>
          <w:sz w:val="26"/>
          <w:szCs w:val="26"/>
        </w:rPr>
        <w:t xml:space="preserve"> had just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B75D1" w:rsidRPr="00B9442D">
        <w:rPr>
          <w:rFonts w:ascii="Times New Roman" w:hAnsi="Times New Roman" w:cs="Times New Roman"/>
          <w:sz w:val="26"/>
          <w:szCs w:val="26"/>
        </w:rPr>
        <w:t>been given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 at</w:t>
      </w:r>
      <w:r w:rsidR="003B75D1" w:rsidRPr="00B9442D">
        <w:rPr>
          <w:rFonts w:ascii="Times New Roman" w:hAnsi="Times New Roman" w:cs="Times New Roman"/>
          <w:sz w:val="26"/>
          <w:szCs w:val="26"/>
        </w:rPr>
        <w:t xml:space="preserve"> Sinai</w:t>
      </w:r>
      <w:r w:rsidR="00E87BBC">
        <w:rPr>
          <w:rFonts w:ascii="Times New Roman" w:hAnsi="Times New Roman" w:cs="Times New Roman"/>
          <w:sz w:val="26"/>
          <w:szCs w:val="26"/>
        </w:rPr>
        <w:t>. T</w:t>
      </w:r>
      <w:r w:rsidR="003B75D1" w:rsidRPr="00B9442D">
        <w:rPr>
          <w:rFonts w:ascii="Times New Roman" w:hAnsi="Times New Roman" w:cs="Times New Roman"/>
          <w:sz w:val="26"/>
          <w:szCs w:val="26"/>
        </w:rPr>
        <w:t xml:space="preserve">he anticipation is that soon Israel will come into the </w:t>
      </w:r>
      <w:r w:rsidR="002C400B">
        <w:rPr>
          <w:rFonts w:ascii="Times New Roman" w:hAnsi="Times New Roman" w:cs="Times New Roman"/>
          <w:sz w:val="26"/>
          <w:szCs w:val="26"/>
        </w:rPr>
        <w:t>P</w:t>
      </w:r>
      <w:r w:rsidR="003B75D1" w:rsidRPr="00B9442D">
        <w:rPr>
          <w:rFonts w:ascii="Times New Roman" w:hAnsi="Times New Roman" w:cs="Times New Roman"/>
          <w:sz w:val="26"/>
          <w:szCs w:val="26"/>
        </w:rPr>
        <w:t xml:space="preserve">romise </w:t>
      </w:r>
      <w:r w:rsidR="002C400B">
        <w:rPr>
          <w:rFonts w:ascii="Times New Roman" w:hAnsi="Times New Roman" w:cs="Times New Roman"/>
          <w:sz w:val="26"/>
          <w:szCs w:val="26"/>
        </w:rPr>
        <w:t>L</w:t>
      </w:r>
      <w:r w:rsidR="003B75D1" w:rsidRPr="00B9442D">
        <w:rPr>
          <w:rFonts w:ascii="Times New Roman" w:hAnsi="Times New Roman" w:cs="Times New Roman"/>
          <w:sz w:val="26"/>
          <w:szCs w:val="26"/>
        </w:rPr>
        <w:t>and.</w:t>
      </w:r>
      <w:r w:rsidR="002C400B">
        <w:rPr>
          <w:rFonts w:ascii="Times New Roman" w:hAnsi="Times New Roman" w:cs="Times New Roman"/>
          <w:sz w:val="26"/>
          <w:szCs w:val="26"/>
        </w:rPr>
        <w:t xml:space="preserve"> I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n the Exodus 20 passage </w:t>
      </w:r>
      <w:r w:rsidR="00716ACB" w:rsidRPr="00B9442D">
        <w:rPr>
          <w:rFonts w:ascii="Times New Roman" w:hAnsi="Times New Roman" w:cs="Times New Roman"/>
          <w:sz w:val="26"/>
          <w:szCs w:val="26"/>
        </w:rPr>
        <w:t>there were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strong regulations </w:t>
      </w:r>
      <w:r w:rsidR="00716ACB" w:rsidRPr="00B9442D">
        <w:rPr>
          <w:rFonts w:ascii="Times New Roman" w:hAnsi="Times New Roman" w:cs="Times New Roman"/>
          <w:sz w:val="26"/>
          <w:szCs w:val="26"/>
        </w:rPr>
        <w:t>on how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the alt</w:t>
      </w:r>
      <w:r w:rsidR="00425BAA">
        <w:rPr>
          <w:rFonts w:ascii="Times New Roman" w:hAnsi="Times New Roman" w:cs="Times New Roman"/>
          <w:sz w:val="26"/>
          <w:szCs w:val="26"/>
        </w:rPr>
        <w:t>a</w:t>
      </w:r>
      <w:r w:rsidR="009A70F4" w:rsidRPr="00B9442D">
        <w:rPr>
          <w:rFonts w:ascii="Times New Roman" w:hAnsi="Times New Roman" w:cs="Times New Roman"/>
          <w:sz w:val="26"/>
          <w:szCs w:val="26"/>
        </w:rPr>
        <w:t>r was to be built, the place i</w:t>
      </w:r>
      <w:r w:rsidR="00E87BBC">
        <w:rPr>
          <w:rFonts w:ascii="Times New Roman" w:hAnsi="Times New Roman" w:cs="Times New Roman"/>
          <w:sz w:val="26"/>
          <w:szCs w:val="26"/>
        </w:rPr>
        <w:t>t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was to be located, which was </w:t>
      </w:r>
      <w:r w:rsidR="003B75D1" w:rsidRPr="00B9442D">
        <w:rPr>
          <w:rFonts w:ascii="Times New Roman" w:hAnsi="Times New Roman" w:cs="Times New Roman"/>
          <w:sz w:val="26"/>
          <w:szCs w:val="26"/>
        </w:rPr>
        <w:t xml:space="preserve">removed from arbitrary choice of 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the </w:t>
      </w:r>
      <w:r w:rsidR="003B75D1" w:rsidRPr="00B9442D">
        <w:rPr>
          <w:rFonts w:ascii="Times New Roman" w:hAnsi="Times New Roman" w:cs="Times New Roman"/>
          <w:sz w:val="26"/>
          <w:szCs w:val="26"/>
        </w:rPr>
        <w:t>people</w:t>
      </w:r>
      <w:r w:rsidR="00E87BBC">
        <w:rPr>
          <w:rFonts w:ascii="Times New Roman" w:hAnsi="Times New Roman" w:cs="Times New Roman"/>
          <w:sz w:val="26"/>
          <w:szCs w:val="26"/>
        </w:rPr>
        <w:t>.  N</w:t>
      </w:r>
      <w:r w:rsidR="009A70F4" w:rsidRPr="00B9442D">
        <w:rPr>
          <w:rFonts w:ascii="Times New Roman" w:hAnsi="Times New Roman" w:cs="Times New Roman"/>
          <w:sz w:val="26"/>
          <w:szCs w:val="26"/>
        </w:rPr>
        <w:t>otice i</w:t>
      </w:r>
      <w:r w:rsidR="00425BAA">
        <w:rPr>
          <w:rFonts w:ascii="Times New Roman" w:hAnsi="Times New Roman" w:cs="Times New Roman"/>
          <w:sz w:val="26"/>
          <w:szCs w:val="26"/>
        </w:rPr>
        <w:t>t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says </w:t>
      </w:r>
      <w:r w:rsidR="00E87BBC">
        <w:rPr>
          <w:rFonts w:ascii="Times New Roman" w:hAnsi="Times New Roman" w:cs="Times New Roman"/>
          <w:sz w:val="26"/>
          <w:szCs w:val="26"/>
        </w:rPr>
        <w:t>“</w:t>
      </w:r>
      <w:r w:rsidR="009A70F4" w:rsidRPr="00B9442D">
        <w:rPr>
          <w:rFonts w:ascii="Times New Roman" w:hAnsi="Times New Roman" w:cs="Times New Roman"/>
          <w:sz w:val="26"/>
          <w:szCs w:val="26"/>
        </w:rPr>
        <w:t>that in all the places where I record my name I will come un</w:t>
      </w:r>
      <w:r w:rsidR="00E87BBC">
        <w:rPr>
          <w:rFonts w:ascii="Times New Roman" w:hAnsi="Times New Roman" w:cs="Times New Roman"/>
          <w:sz w:val="26"/>
          <w:szCs w:val="26"/>
        </w:rPr>
        <w:t>to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you.</w:t>
      </w:r>
      <w:r w:rsidR="00E87BBC">
        <w:rPr>
          <w:rFonts w:ascii="Times New Roman" w:hAnsi="Times New Roman" w:cs="Times New Roman"/>
          <w:sz w:val="26"/>
          <w:szCs w:val="26"/>
        </w:rPr>
        <w:t>”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So the regulations</w:t>
      </w:r>
      <w:r w:rsidR="00E87BBC">
        <w:rPr>
          <w:rFonts w:ascii="Times New Roman" w:hAnsi="Times New Roman" w:cs="Times New Roman"/>
          <w:sz w:val="26"/>
          <w:szCs w:val="26"/>
        </w:rPr>
        <w:t xml:space="preserve"> were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on how it was to be built</w:t>
      </w:r>
      <w:r w:rsidR="002C400B">
        <w:rPr>
          <w:rFonts w:ascii="Times New Roman" w:hAnsi="Times New Roman" w:cs="Times New Roman"/>
          <w:sz w:val="26"/>
          <w:szCs w:val="26"/>
        </w:rPr>
        <w:t xml:space="preserve"> and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the place i</w:t>
      </w:r>
      <w:r w:rsidR="00E87BBC">
        <w:rPr>
          <w:rFonts w:ascii="Times New Roman" w:hAnsi="Times New Roman" w:cs="Times New Roman"/>
          <w:sz w:val="26"/>
          <w:szCs w:val="26"/>
        </w:rPr>
        <w:t>t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was to be located, but it gives no indication that only one place w</w:t>
      </w:r>
      <w:r w:rsidR="00E87BBC">
        <w:rPr>
          <w:rFonts w:ascii="Times New Roman" w:hAnsi="Times New Roman" w:cs="Times New Roman"/>
          <w:sz w:val="26"/>
          <w:szCs w:val="26"/>
        </w:rPr>
        <w:t>as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to be used. </w:t>
      </w:r>
      <w:r w:rsidR="00E87BBC">
        <w:rPr>
          <w:rFonts w:ascii="Times New Roman" w:hAnsi="Times New Roman" w:cs="Times New Roman"/>
          <w:sz w:val="26"/>
          <w:szCs w:val="26"/>
        </w:rPr>
        <w:t xml:space="preserve"> C</w:t>
      </w:r>
      <w:r w:rsidR="009A70F4" w:rsidRPr="00B9442D">
        <w:rPr>
          <w:rFonts w:ascii="Times New Roman" w:hAnsi="Times New Roman" w:cs="Times New Roman"/>
          <w:sz w:val="26"/>
          <w:szCs w:val="26"/>
        </w:rPr>
        <w:t>ertainly</w:t>
      </w:r>
      <w:r w:rsidR="00E61660" w:rsidRPr="00B9442D">
        <w:rPr>
          <w:rFonts w:ascii="Times New Roman" w:hAnsi="Times New Roman" w:cs="Times New Roman"/>
          <w:sz w:val="26"/>
          <w:szCs w:val="26"/>
        </w:rPr>
        <w:t xml:space="preserve"> i</w:t>
      </w:r>
      <w:r w:rsidR="00425BAA">
        <w:rPr>
          <w:rFonts w:ascii="Times New Roman" w:hAnsi="Times New Roman" w:cs="Times New Roman"/>
          <w:sz w:val="26"/>
          <w:szCs w:val="26"/>
        </w:rPr>
        <w:t>t</w:t>
      </w:r>
      <w:r w:rsidR="00E61660" w:rsidRPr="00B9442D">
        <w:rPr>
          <w:rFonts w:ascii="Times New Roman" w:hAnsi="Times New Roman" w:cs="Times New Roman"/>
          <w:sz w:val="26"/>
          <w:szCs w:val="26"/>
        </w:rPr>
        <w:t xml:space="preserve"> i</w:t>
      </w:r>
      <w:r w:rsidR="00425BAA">
        <w:rPr>
          <w:rFonts w:ascii="Times New Roman" w:hAnsi="Times New Roman" w:cs="Times New Roman"/>
          <w:sz w:val="26"/>
          <w:szCs w:val="26"/>
        </w:rPr>
        <w:t>s</w:t>
      </w:r>
      <w:r w:rsidR="00E61660" w:rsidRPr="00B9442D">
        <w:rPr>
          <w:rFonts w:ascii="Times New Roman" w:hAnsi="Times New Roman" w:cs="Times New Roman"/>
          <w:sz w:val="26"/>
          <w:szCs w:val="26"/>
        </w:rPr>
        <w:t xml:space="preserve"> clear that the practice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25BAA">
        <w:rPr>
          <w:rFonts w:ascii="Times New Roman" w:hAnsi="Times New Roman" w:cs="Times New Roman"/>
          <w:sz w:val="26"/>
          <w:szCs w:val="26"/>
        </w:rPr>
        <w:t xml:space="preserve">during the time of Samuel </w:t>
      </w:r>
      <w:r w:rsidR="009A70F4" w:rsidRPr="00B9442D">
        <w:rPr>
          <w:rFonts w:ascii="Times New Roman" w:hAnsi="Times New Roman" w:cs="Times New Roman"/>
          <w:sz w:val="26"/>
          <w:szCs w:val="26"/>
        </w:rPr>
        <w:t>corresponded to that law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214374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87BBC">
        <w:rPr>
          <w:rFonts w:ascii="Times New Roman" w:hAnsi="Times New Roman" w:cs="Times New Roman"/>
          <w:sz w:val="26"/>
          <w:szCs w:val="26"/>
        </w:rPr>
        <w:t>and there w</w:t>
      </w:r>
      <w:r w:rsidR="002C400B">
        <w:rPr>
          <w:rFonts w:ascii="Times New Roman" w:hAnsi="Times New Roman" w:cs="Times New Roman"/>
          <w:sz w:val="26"/>
          <w:szCs w:val="26"/>
        </w:rPr>
        <w:t>as</w:t>
      </w:r>
      <w:r w:rsidR="00E87BBC">
        <w:rPr>
          <w:rFonts w:ascii="Times New Roman" w:hAnsi="Times New Roman" w:cs="Times New Roman"/>
          <w:sz w:val="26"/>
          <w:szCs w:val="26"/>
        </w:rPr>
        <w:t xml:space="preserve"> </w:t>
      </w:r>
      <w:r w:rsidR="00214374" w:rsidRPr="00B9442D">
        <w:rPr>
          <w:rFonts w:ascii="Times New Roman" w:hAnsi="Times New Roman" w:cs="Times New Roman"/>
          <w:sz w:val="26"/>
          <w:szCs w:val="26"/>
        </w:rPr>
        <w:t xml:space="preserve">more than one </w:t>
      </w:r>
      <w:r w:rsidR="009A70F4" w:rsidRPr="00B9442D">
        <w:rPr>
          <w:rFonts w:ascii="Times New Roman" w:hAnsi="Times New Roman" w:cs="Times New Roman"/>
          <w:sz w:val="26"/>
          <w:szCs w:val="26"/>
        </w:rPr>
        <w:t>alt</w:t>
      </w:r>
      <w:r w:rsidR="00425BAA">
        <w:rPr>
          <w:rFonts w:ascii="Times New Roman" w:hAnsi="Times New Roman" w:cs="Times New Roman"/>
          <w:sz w:val="26"/>
          <w:szCs w:val="26"/>
        </w:rPr>
        <w:t>a</w:t>
      </w:r>
      <w:r w:rsidR="009A70F4" w:rsidRPr="00B9442D">
        <w:rPr>
          <w:rFonts w:ascii="Times New Roman" w:hAnsi="Times New Roman" w:cs="Times New Roman"/>
          <w:sz w:val="26"/>
          <w:szCs w:val="26"/>
        </w:rPr>
        <w:t>r. S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o </w:t>
      </w:r>
      <w:proofErr w:type="spellStart"/>
      <w:r w:rsidR="00425BAA">
        <w:rPr>
          <w:rFonts w:ascii="Times New Roman" w:hAnsi="Times New Roman" w:cs="Times New Roman"/>
          <w:sz w:val="26"/>
          <w:szCs w:val="26"/>
        </w:rPr>
        <w:t>H</w:t>
      </w:r>
      <w:r w:rsidR="001A0503">
        <w:rPr>
          <w:rFonts w:ascii="Times New Roman" w:hAnsi="Times New Roman" w:cs="Times New Roman"/>
          <w:sz w:val="26"/>
          <w:szCs w:val="26"/>
        </w:rPr>
        <w:t>alwarda</w:t>
      </w:r>
      <w:proofErr w:type="spellEnd"/>
      <w:r w:rsidR="001A34C8" w:rsidRPr="00B9442D">
        <w:rPr>
          <w:rFonts w:ascii="Times New Roman" w:hAnsi="Times New Roman" w:cs="Times New Roman"/>
          <w:sz w:val="26"/>
          <w:szCs w:val="26"/>
        </w:rPr>
        <w:t xml:space="preserve"> ask</w:t>
      </w:r>
      <w:r w:rsidR="002C400B">
        <w:rPr>
          <w:rFonts w:ascii="Times New Roman" w:hAnsi="Times New Roman" w:cs="Times New Roman"/>
          <w:sz w:val="26"/>
          <w:szCs w:val="26"/>
        </w:rPr>
        <w:t>s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716ACB" w:rsidRPr="00B9442D">
        <w:rPr>
          <w:rFonts w:ascii="Times New Roman" w:hAnsi="Times New Roman" w:cs="Times New Roman"/>
          <w:sz w:val="26"/>
          <w:szCs w:val="26"/>
        </w:rPr>
        <w:t>the question</w:t>
      </w:r>
      <w:r w:rsidR="002C400B">
        <w:rPr>
          <w:rFonts w:ascii="Times New Roman" w:hAnsi="Times New Roman" w:cs="Times New Roman"/>
          <w:sz w:val="26"/>
          <w:szCs w:val="26"/>
        </w:rPr>
        <w:t>: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2C400B">
        <w:rPr>
          <w:rFonts w:ascii="Times New Roman" w:hAnsi="Times New Roman" w:cs="Times New Roman"/>
          <w:sz w:val="26"/>
          <w:szCs w:val="26"/>
        </w:rPr>
        <w:t>H</w:t>
      </w:r>
      <w:r w:rsidR="00716ACB" w:rsidRPr="00B9442D">
        <w:rPr>
          <w:rFonts w:ascii="Times New Roman" w:hAnsi="Times New Roman" w:cs="Times New Roman"/>
          <w:sz w:val="26"/>
          <w:szCs w:val="26"/>
        </w:rPr>
        <w:t>ow then do we harmonize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 Exodus 20 and Deuteronomy </w:t>
      </w:r>
      <w:r w:rsidR="00370225" w:rsidRPr="00B9442D">
        <w:rPr>
          <w:rFonts w:ascii="Times New Roman" w:hAnsi="Times New Roman" w:cs="Times New Roman"/>
          <w:sz w:val="26"/>
          <w:szCs w:val="26"/>
        </w:rPr>
        <w:t>12?</w:t>
      </w:r>
      <w:r w:rsidR="00214374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Do </w:t>
      </w:r>
      <w:r w:rsidR="00716ACB" w:rsidRPr="00B9442D">
        <w:rPr>
          <w:rFonts w:ascii="Times New Roman" w:hAnsi="Times New Roman" w:cs="Times New Roman"/>
          <w:sz w:val="26"/>
          <w:szCs w:val="26"/>
        </w:rPr>
        <w:t>we adopt laws and conclusions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or </w:t>
      </w:r>
      <w:r w:rsidR="00E87BBC">
        <w:rPr>
          <w:rFonts w:ascii="Times New Roman" w:hAnsi="Times New Roman" w:cs="Times New Roman"/>
          <w:sz w:val="26"/>
          <w:szCs w:val="26"/>
        </w:rPr>
        <w:t xml:space="preserve">is it a </w:t>
      </w:r>
      <w:r w:rsidR="00716ACB" w:rsidRPr="00B9442D">
        <w:rPr>
          <w:rFonts w:ascii="Times New Roman" w:hAnsi="Times New Roman" w:cs="Times New Roman"/>
          <w:sz w:val="26"/>
          <w:szCs w:val="26"/>
        </w:rPr>
        <w:t>long period</w:t>
      </w:r>
      <w:r w:rsidR="002C400B">
        <w:rPr>
          <w:rFonts w:ascii="Times New Roman" w:hAnsi="Times New Roman" w:cs="Times New Roman"/>
          <w:sz w:val="26"/>
          <w:szCs w:val="26"/>
        </w:rPr>
        <w:t xml:space="preserve"> of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d</w:t>
      </w:r>
      <w:r w:rsidR="001F05F9" w:rsidRPr="00B9442D">
        <w:rPr>
          <w:rFonts w:ascii="Times New Roman" w:hAnsi="Times New Roman" w:cs="Times New Roman"/>
          <w:sz w:val="26"/>
          <w:szCs w:val="26"/>
        </w:rPr>
        <w:t>evelopment</w:t>
      </w:r>
      <w:r w:rsidR="002C400B">
        <w:rPr>
          <w:rFonts w:ascii="Times New Roman" w:hAnsi="Times New Roman" w:cs="Times New Roman"/>
          <w:sz w:val="26"/>
          <w:szCs w:val="26"/>
        </w:rPr>
        <w:t>--</w:t>
      </w:r>
      <w:r w:rsidR="00370225" w:rsidRPr="00B9442D">
        <w:rPr>
          <w:rFonts w:ascii="Times New Roman" w:hAnsi="Times New Roman" w:cs="Times New Roman"/>
          <w:sz w:val="26"/>
          <w:szCs w:val="26"/>
        </w:rPr>
        <w:t xml:space="preserve">originally </w:t>
      </w:r>
      <w:r w:rsidR="00E87BBC">
        <w:rPr>
          <w:rFonts w:ascii="Times New Roman" w:hAnsi="Times New Roman" w:cs="Times New Roman"/>
          <w:sz w:val="26"/>
          <w:szCs w:val="26"/>
        </w:rPr>
        <w:t xml:space="preserve">with a </w:t>
      </w:r>
      <w:r w:rsidR="00370225" w:rsidRPr="00B9442D">
        <w:rPr>
          <w:rFonts w:ascii="Times New Roman" w:hAnsi="Times New Roman" w:cs="Times New Roman"/>
          <w:sz w:val="26"/>
          <w:szCs w:val="26"/>
        </w:rPr>
        <w:t>multiplicity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87BBC">
        <w:rPr>
          <w:rFonts w:ascii="Times New Roman" w:hAnsi="Times New Roman" w:cs="Times New Roman"/>
          <w:sz w:val="26"/>
          <w:szCs w:val="26"/>
        </w:rPr>
        <w:t xml:space="preserve">of </w:t>
      </w:r>
      <w:r w:rsidR="00716ACB" w:rsidRPr="00B9442D">
        <w:rPr>
          <w:rFonts w:ascii="Times New Roman" w:hAnsi="Times New Roman" w:cs="Times New Roman"/>
          <w:sz w:val="26"/>
          <w:szCs w:val="26"/>
        </w:rPr>
        <w:t>alt</w:t>
      </w:r>
      <w:r w:rsidR="00E87BBC">
        <w:rPr>
          <w:rFonts w:ascii="Times New Roman" w:hAnsi="Times New Roman" w:cs="Times New Roman"/>
          <w:sz w:val="26"/>
          <w:szCs w:val="26"/>
        </w:rPr>
        <w:t>a</w:t>
      </w:r>
      <w:r w:rsidR="00716ACB" w:rsidRPr="00B9442D">
        <w:rPr>
          <w:rFonts w:ascii="Times New Roman" w:hAnsi="Times New Roman" w:cs="Times New Roman"/>
          <w:sz w:val="26"/>
          <w:szCs w:val="26"/>
        </w:rPr>
        <w:t>r</w:t>
      </w:r>
      <w:r w:rsidR="00E87BBC">
        <w:rPr>
          <w:rFonts w:ascii="Times New Roman" w:hAnsi="Times New Roman" w:cs="Times New Roman"/>
          <w:sz w:val="26"/>
          <w:szCs w:val="26"/>
        </w:rPr>
        <w:t>s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develop</w:t>
      </w:r>
      <w:r w:rsidR="00E87BBC">
        <w:rPr>
          <w:rFonts w:ascii="Times New Roman" w:hAnsi="Times New Roman" w:cs="Times New Roman"/>
          <w:sz w:val="26"/>
          <w:szCs w:val="26"/>
        </w:rPr>
        <w:t>ing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F05F9" w:rsidRPr="00B9442D">
        <w:rPr>
          <w:rFonts w:ascii="Times New Roman" w:hAnsi="Times New Roman" w:cs="Times New Roman"/>
          <w:sz w:val="26"/>
          <w:szCs w:val="26"/>
        </w:rPr>
        <w:t>into</w:t>
      </w:r>
      <w:r w:rsidR="005A7F00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F05F9" w:rsidRPr="00B9442D">
        <w:rPr>
          <w:rFonts w:ascii="Times New Roman" w:hAnsi="Times New Roman" w:cs="Times New Roman"/>
          <w:sz w:val="26"/>
          <w:szCs w:val="26"/>
        </w:rPr>
        <w:t>centralization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of </w:t>
      </w:r>
      <w:r w:rsidR="002C400B">
        <w:rPr>
          <w:rFonts w:ascii="Times New Roman" w:hAnsi="Times New Roman" w:cs="Times New Roman"/>
          <w:sz w:val="26"/>
          <w:szCs w:val="26"/>
        </w:rPr>
        <w:t xml:space="preserve">a single </w:t>
      </w:r>
      <w:r w:rsidR="00716ACB" w:rsidRPr="00B9442D">
        <w:rPr>
          <w:rFonts w:ascii="Times New Roman" w:hAnsi="Times New Roman" w:cs="Times New Roman"/>
          <w:sz w:val="26"/>
          <w:szCs w:val="26"/>
        </w:rPr>
        <w:t>alt</w:t>
      </w:r>
      <w:r w:rsidR="00425BAA">
        <w:rPr>
          <w:rFonts w:ascii="Times New Roman" w:hAnsi="Times New Roman" w:cs="Times New Roman"/>
          <w:sz w:val="26"/>
          <w:szCs w:val="26"/>
        </w:rPr>
        <w:t>a</w:t>
      </w:r>
      <w:r w:rsidR="00716ACB" w:rsidRPr="00B9442D">
        <w:rPr>
          <w:rFonts w:ascii="Times New Roman" w:hAnsi="Times New Roman" w:cs="Times New Roman"/>
          <w:sz w:val="26"/>
          <w:szCs w:val="26"/>
        </w:rPr>
        <w:t>r.</w:t>
      </w:r>
      <w:r w:rsidR="002C400B">
        <w:rPr>
          <w:rFonts w:ascii="Times New Roman" w:hAnsi="Times New Roman" w:cs="Times New Roman"/>
          <w:sz w:val="26"/>
          <w:szCs w:val="26"/>
        </w:rPr>
        <w:t xml:space="preserve"> </w:t>
      </w:r>
      <w:r w:rsidR="00425BAA">
        <w:rPr>
          <w:rFonts w:ascii="Times New Roman" w:hAnsi="Times New Roman" w:cs="Times New Roman"/>
          <w:sz w:val="26"/>
          <w:szCs w:val="26"/>
        </w:rPr>
        <w:t>Do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es Deuteronomy 12 demand centralization? </w:t>
      </w:r>
      <w:r w:rsidR="00716AC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lastRenderedPageBreak/>
        <w:t xml:space="preserve">2.  Deuteronomy 12:14 </w:t>
      </w:r>
      <w:r w:rsidR="002C400B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2C400B">
        <w:rPr>
          <w:rFonts w:ascii="Times New Roman" w:hAnsi="Times New Roman" w:cs="Times New Roman"/>
          <w:sz w:val="26"/>
          <w:szCs w:val="26"/>
        </w:rPr>
        <w:tab/>
        <w:t>So</w:t>
      </w:r>
      <w:r w:rsidR="009A70F4" w:rsidRPr="00B9442D">
        <w:rPr>
          <w:rFonts w:ascii="Times New Roman" w:hAnsi="Times New Roman" w:cs="Times New Roman"/>
          <w:sz w:val="26"/>
          <w:szCs w:val="26"/>
        </w:rPr>
        <w:t xml:space="preserve"> the discussion of </w:t>
      </w:r>
      <w:r w:rsidR="00E87BBC">
        <w:rPr>
          <w:rFonts w:ascii="Times New Roman" w:hAnsi="Times New Roman" w:cs="Times New Roman"/>
          <w:sz w:val="26"/>
          <w:szCs w:val="26"/>
        </w:rPr>
        <w:t>chapter 12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E87BBC">
        <w:rPr>
          <w:rFonts w:ascii="Times New Roman" w:hAnsi="Times New Roman" w:cs="Times New Roman"/>
          <w:sz w:val="26"/>
          <w:szCs w:val="26"/>
        </w:rPr>
        <w:t xml:space="preserve"> </w:t>
      </w:r>
      <w:r w:rsidR="001A34C8" w:rsidRPr="00B9442D">
        <w:rPr>
          <w:rFonts w:ascii="Times New Roman" w:hAnsi="Times New Roman" w:cs="Times New Roman"/>
          <w:sz w:val="26"/>
          <w:szCs w:val="26"/>
        </w:rPr>
        <w:t>vers</w:t>
      </w:r>
      <w:r w:rsidR="00425BAA">
        <w:rPr>
          <w:rFonts w:ascii="Times New Roman" w:hAnsi="Times New Roman" w:cs="Times New Roman"/>
          <w:sz w:val="26"/>
          <w:szCs w:val="26"/>
        </w:rPr>
        <w:t>e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 14, </w:t>
      </w:r>
      <w:r w:rsidR="00716ACB" w:rsidRPr="00B9442D">
        <w:rPr>
          <w:rFonts w:ascii="Times New Roman" w:hAnsi="Times New Roman" w:cs="Times New Roman"/>
          <w:sz w:val="26"/>
          <w:szCs w:val="26"/>
        </w:rPr>
        <w:t>becomes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really </w:t>
      </w:r>
      <w:r w:rsidR="001A34C8" w:rsidRPr="00B9442D">
        <w:rPr>
          <w:rFonts w:ascii="Times New Roman" w:hAnsi="Times New Roman" w:cs="Times New Roman"/>
          <w:sz w:val="26"/>
          <w:szCs w:val="26"/>
        </w:rPr>
        <w:t>a</w:t>
      </w:r>
      <w:r w:rsidR="00EA5973" w:rsidRPr="00B9442D">
        <w:rPr>
          <w:rFonts w:ascii="Times New Roman" w:hAnsi="Times New Roman" w:cs="Times New Roman"/>
          <w:sz w:val="26"/>
          <w:szCs w:val="26"/>
        </w:rPr>
        <w:t xml:space="preserve"> critical verse. You read in verse 14</w:t>
      </w:r>
      <w:r w:rsidR="00E87BBC">
        <w:rPr>
          <w:rFonts w:ascii="Times New Roman" w:hAnsi="Times New Roman" w:cs="Times New Roman"/>
          <w:sz w:val="26"/>
          <w:szCs w:val="26"/>
        </w:rPr>
        <w:t>,</w:t>
      </w:r>
      <w:r w:rsidR="00EA597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61660" w:rsidRPr="00B9442D">
        <w:rPr>
          <w:rFonts w:ascii="Times New Roman" w:hAnsi="Times New Roman" w:cs="Times New Roman"/>
          <w:sz w:val="26"/>
          <w:szCs w:val="26"/>
        </w:rPr>
        <w:t>pre</w:t>
      </w:r>
      <w:r w:rsidR="00425BAA">
        <w:rPr>
          <w:rFonts w:ascii="Times New Roman" w:hAnsi="Times New Roman" w:cs="Times New Roman"/>
          <w:sz w:val="26"/>
          <w:szCs w:val="26"/>
        </w:rPr>
        <w:t>face</w:t>
      </w:r>
      <w:r w:rsidR="002C400B">
        <w:rPr>
          <w:rFonts w:ascii="Times New Roman" w:hAnsi="Times New Roman" w:cs="Times New Roman"/>
          <w:sz w:val="26"/>
          <w:szCs w:val="26"/>
        </w:rPr>
        <w:t>d</w:t>
      </w:r>
      <w:r w:rsidR="00425BAA">
        <w:rPr>
          <w:rFonts w:ascii="Times New Roman" w:hAnsi="Times New Roman" w:cs="Times New Roman"/>
          <w:sz w:val="26"/>
          <w:szCs w:val="26"/>
        </w:rPr>
        <w:t xml:space="preserve"> it with</w:t>
      </w:r>
      <w:r w:rsidR="00EA5973" w:rsidRPr="00B9442D">
        <w:rPr>
          <w:rFonts w:ascii="Times New Roman" w:hAnsi="Times New Roman" w:cs="Times New Roman"/>
          <w:sz w:val="26"/>
          <w:szCs w:val="26"/>
        </w:rPr>
        <w:t xml:space="preserve"> verse 13</w:t>
      </w:r>
      <w:r w:rsidR="00E87BBC">
        <w:rPr>
          <w:rFonts w:ascii="Times New Roman" w:hAnsi="Times New Roman" w:cs="Times New Roman"/>
          <w:sz w:val="26"/>
          <w:szCs w:val="26"/>
        </w:rPr>
        <w:t>:</w:t>
      </w:r>
      <w:r w:rsidR="00EA597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25BAA">
        <w:rPr>
          <w:rFonts w:ascii="Times New Roman" w:hAnsi="Times New Roman" w:cs="Times New Roman"/>
          <w:sz w:val="26"/>
          <w:szCs w:val="26"/>
        </w:rPr>
        <w:t>“Be careful not to sacrifice your burnt offerings anywhere you please.  Off</w:t>
      </w:r>
      <w:r w:rsidR="00E87BBC">
        <w:rPr>
          <w:rFonts w:ascii="Times New Roman" w:hAnsi="Times New Roman" w:cs="Times New Roman"/>
          <w:sz w:val="26"/>
          <w:szCs w:val="26"/>
        </w:rPr>
        <w:t>er</w:t>
      </w:r>
      <w:r w:rsidR="00425BAA">
        <w:rPr>
          <w:rFonts w:ascii="Times New Roman" w:hAnsi="Times New Roman" w:cs="Times New Roman"/>
          <w:sz w:val="26"/>
          <w:szCs w:val="26"/>
        </w:rPr>
        <w:t xml:space="preserve"> them only at the place the LORD will choose in one of your tribes, and there observe everything I command you.”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25BAA">
        <w:rPr>
          <w:rFonts w:ascii="Times New Roman" w:hAnsi="Times New Roman" w:cs="Times New Roman"/>
          <w:sz w:val="26"/>
          <w:szCs w:val="26"/>
        </w:rPr>
        <w:t>“</w:t>
      </w:r>
      <w:r w:rsidR="00CF0F0A" w:rsidRPr="00B9442D">
        <w:rPr>
          <w:rFonts w:ascii="Times New Roman" w:hAnsi="Times New Roman" w:cs="Times New Roman"/>
          <w:sz w:val="26"/>
          <w:szCs w:val="26"/>
        </w:rPr>
        <w:t>Not in every place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but in the place in one of </w:t>
      </w:r>
      <w:r w:rsidR="00425BAA">
        <w:rPr>
          <w:rFonts w:ascii="Times New Roman" w:hAnsi="Times New Roman" w:cs="Times New Roman"/>
          <w:sz w:val="26"/>
          <w:szCs w:val="26"/>
        </w:rPr>
        <w:t>your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tribes.</w:t>
      </w:r>
      <w:r w:rsidR="00425BAA">
        <w:rPr>
          <w:rFonts w:ascii="Times New Roman" w:hAnsi="Times New Roman" w:cs="Times New Roman"/>
          <w:sz w:val="26"/>
          <w:szCs w:val="26"/>
        </w:rPr>
        <w:t>”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503">
        <w:rPr>
          <w:rFonts w:ascii="Times New Roman" w:hAnsi="Times New Roman" w:cs="Times New Roman"/>
          <w:sz w:val="26"/>
          <w:szCs w:val="26"/>
        </w:rPr>
        <w:t>Halwarda</w:t>
      </w:r>
      <w:proofErr w:type="spellEnd"/>
      <w:r w:rsidR="001A050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A34C8" w:rsidRPr="00B9442D">
        <w:rPr>
          <w:rFonts w:ascii="Times New Roman" w:hAnsi="Times New Roman" w:cs="Times New Roman"/>
          <w:sz w:val="26"/>
          <w:szCs w:val="26"/>
        </w:rPr>
        <w:t>says that you cannot stop with the first impression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you may get in the </w:t>
      </w:r>
      <w:r w:rsidR="002C400B">
        <w:rPr>
          <w:rFonts w:ascii="Times New Roman" w:hAnsi="Times New Roman" w:cs="Times New Roman"/>
          <w:sz w:val="26"/>
          <w:szCs w:val="26"/>
        </w:rPr>
        <w:t>phrase</w:t>
      </w:r>
      <w:r w:rsidR="00425BAA">
        <w:rPr>
          <w:rFonts w:ascii="Times New Roman" w:hAnsi="Times New Roman" w:cs="Times New Roman"/>
          <w:sz w:val="26"/>
          <w:szCs w:val="26"/>
        </w:rPr>
        <w:t>, “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in one of </w:t>
      </w:r>
      <w:r w:rsidR="00425BAA">
        <w:rPr>
          <w:rFonts w:ascii="Times New Roman" w:hAnsi="Times New Roman" w:cs="Times New Roman"/>
          <w:sz w:val="26"/>
          <w:szCs w:val="26"/>
        </w:rPr>
        <w:t>your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 tribe</w:t>
      </w:r>
      <w:r w:rsidR="00CF0F0A" w:rsidRPr="00B9442D">
        <w:rPr>
          <w:rFonts w:ascii="Times New Roman" w:hAnsi="Times New Roman" w:cs="Times New Roman"/>
          <w:sz w:val="26"/>
          <w:szCs w:val="26"/>
        </w:rPr>
        <w:t>s</w:t>
      </w:r>
      <w:r w:rsidR="002C400B">
        <w:rPr>
          <w:rFonts w:ascii="Times New Roman" w:hAnsi="Times New Roman" w:cs="Times New Roman"/>
          <w:sz w:val="26"/>
          <w:szCs w:val="26"/>
        </w:rPr>
        <w:t>.</w:t>
      </w:r>
      <w:r w:rsidR="00425BAA">
        <w:rPr>
          <w:rFonts w:ascii="Times New Roman" w:hAnsi="Times New Roman" w:cs="Times New Roman"/>
          <w:sz w:val="26"/>
          <w:szCs w:val="26"/>
        </w:rPr>
        <w:t>”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(Deuteronomy </w:t>
      </w:r>
      <w:r w:rsidR="001A34C8" w:rsidRPr="00B9442D">
        <w:rPr>
          <w:rFonts w:ascii="Times New Roman" w:hAnsi="Times New Roman" w:cs="Times New Roman"/>
          <w:sz w:val="26"/>
          <w:szCs w:val="26"/>
        </w:rPr>
        <w:t>12:14)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A5973" w:rsidRPr="00B9442D">
        <w:rPr>
          <w:rFonts w:ascii="Times New Roman" w:hAnsi="Times New Roman" w:cs="Times New Roman"/>
          <w:sz w:val="26"/>
          <w:szCs w:val="26"/>
        </w:rPr>
        <w:t xml:space="preserve"> According to Hebrew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usage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that does not necessarily indicate 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only </w:t>
      </w:r>
      <w:r w:rsidR="001A34C8" w:rsidRPr="00B9442D">
        <w:rPr>
          <w:rFonts w:ascii="Times New Roman" w:hAnsi="Times New Roman" w:cs="Times New Roman"/>
          <w:sz w:val="26"/>
          <w:szCs w:val="26"/>
        </w:rPr>
        <w:t>one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 because frequently this kind of expression can have the same idea</w:t>
      </w:r>
      <w:r w:rsidR="00E87BBC">
        <w:rPr>
          <w:rFonts w:ascii="Times New Roman" w:hAnsi="Times New Roman" w:cs="Times New Roman"/>
          <w:sz w:val="26"/>
          <w:szCs w:val="26"/>
        </w:rPr>
        <w:t xml:space="preserve"> a</w:t>
      </w:r>
      <w:r w:rsidR="00CF0F0A" w:rsidRPr="00B9442D">
        <w:rPr>
          <w:rFonts w:ascii="Times New Roman" w:hAnsi="Times New Roman" w:cs="Times New Roman"/>
          <w:sz w:val="26"/>
          <w:szCs w:val="26"/>
        </w:rPr>
        <w:t xml:space="preserve">s the English word </w:t>
      </w:r>
      <w:r w:rsidR="00425BAA">
        <w:rPr>
          <w:rFonts w:ascii="Times New Roman" w:hAnsi="Times New Roman" w:cs="Times New Roman"/>
          <w:sz w:val="26"/>
          <w:szCs w:val="26"/>
        </w:rPr>
        <w:t>“</w:t>
      </w:r>
      <w:r w:rsidR="00CF0F0A" w:rsidRPr="00B9442D">
        <w:rPr>
          <w:rFonts w:ascii="Times New Roman" w:hAnsi="Times New Roman" w:cs="Times New Roman"/>
          <w:sz w:val="26"/>
          <w:szCs w:val="26"/>
        </w:rPr>
        <w:t>any,</w:t>
      </w:r>
      <w:r w:rsidR="00425BAA">
        <w:rPr>
          <w:rFonts w:ascii="Times New Roman" w:hAnsi="Times New Roman" w:cs="Times New Roman"/>
          <w:sz w:val="26"/>
          <w:szCs w:val="26"/>
        </w:rPr>
        <w:t>”—“</w:t>
      </w:r>
      <w:r w:rsidR="00CF0F0A" w:rsidRPr="00B9442D">
        <w:rPr>
          <w:rFonts w:ascii="Times New Roman" w:hAnsi="Times New Roman" w:cs="Times New Roman"/>
          <w:sz w:val="26"/>
          <w:szCs w:val="26"/>
        </w:rPr>
        <w:t>in any of your tribes</w:t>
      </w:r>
      <w:r w:rsidR="001A34C8" w:rsidRPr="00B9442D">
        <w:rPr>
          <w:rFonts w:ascii="Times New Roman" w:hAnsi="Times New Roman" w:cs="Times New Roman"/>
          <w:sz w:val="26"/>
          <w:szCs w:val="26"/>
        </w:rPr>
        <w:t>.</w:t>
      </w:r>
      <w:r w:rsidR="00425BAA">
        <w:rPr>
          <w:rFonts w:ascii="Times New Roman" w:hAnsi="Times New Roman" w:cs="Times New Roman"/>
          <w:sz w:val="26"/>
          <w:szCs w:val="26"/>
        </w:rPr>
        <w:t>”</w:t>
      </w:r>
      <w:r w:rsidR="001A34C8" w:rsidRPr="00B9442D">
        <w:rPr>
          <w:rFonts w:ascii="Times New Roman" w:hAnsi="Times New Roman" w:cs="Times New Roman"/>
          <w:sz w:val="26"/>
          <w:szCs w:val="26"/>
        </w:rPr>
        <w:t xml:space="preserve">  </w:t>
      </w:r>
      <w:r w:rsidR="00EB359B" w:rsidRPr="00B9442D">
        <w:rPr>
          <w:rFonts w:ascii="Times New Roman" w:hAnsi="Times New Roman" w:cs="Times New Roman"/>
          <w:sz w:val="26"/>
          <w:szCs w:val="26"/>
        </w:rPr>
        <w:t>So that it could mean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25BAA">
        <w:rPr>
          <w:rFonts w:ascii="Times New Roman" w:hAnsi="Times New Roman" w:cs="Times New Roman"/>
          <w:sz w:val="26"/>
          <w:szCs w:val="26"/>
        </w:rPr>
        <w:t>“</w:t>
      </w:r>
      <w:r w:rsidR="007A6DBB" w:rsidRPr="00B9442D">
        <w:rPr>
          <w:rFonts w:ascii="Times New Roman" w:hAnsi="Times New Roman" w:cs="Times New Roman"/>
          <w:sz w:val="26"/>
          <w:szCs w:val="26"/>
        </w:rPr>
        <w:t>in any one of your tribes</w:t>
      </w:r>
      <w:r w:rsidR="00425BAA">
        <w:rPr>
          <w:rFonts w:ascii="Times New Roman" w:hAnsi="Times New Roman" w:cs="Times New Roman"/>
          <w:sz w:val="26"/>
          <w:szCs w:val="26"/>
        </w:rPr>
        <w:t>”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or </w:t>
      </w:r>
      <w:r w:rsidR="00425BAA">
        <w:rPr>
          <w:rFonts w:ascii="Times New Roman" w:hAnsi="Times New Roman" w:cs="Times New Roman"/>
          <w:sz w:val="26"/>
          <w:szCs w:val="26"/>
        </w:rPr>
        <w:t>“</w:t>
      </w:r>
      <w:r w:rsidR="007A6DBB" w:rsidRPr="00B9442D">
        <w:rPr>
          <w:rFonts w:ascii="Times New Roman" w:hAnsi="Times New Roman" w:cs="Times New Roman"/>
          <w:sz w:val="26"/>
          <w:szCs w:val="26"/>
        </w:rPr>
        <w:t>in any number of your tribes.</w:t>
      </w:r>
      <w:r w:rsidR="00425BAA">
        <w:rPr>
          <w:rFonts w:ascii="Times New Roman" w:hAnsi="Times New Roman" w:cs="Times New Roman"/>
          <w:sz w:val="26"/>
          <w:szCs w:val="26"/>
        </w:rPr>
        <w:t>”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It’s not explicitly clear.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  <w:t>3.  Deuteronomy 18:6 Levites Coming</w:t>
      </w:r>
      <w:r w:rsidR="00425BAA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425BAA">
        <w:rPr>
          <w:rFonts w:ascii="Times New Roman" w:hAnsi="Times New Roman" w:cs="Times New Roman"/>
          <w:sz w:val="26"/>
          <w:szCs w:val="26"/>
        </w:rPr>
        <w:tab/>
      </w:r>
      <w:r w:rsidR="007A6DBB" w:rsidRPr="00B9442D">
        <w:rPr>
          <w:rFonts w:ascii="Times New Roman" w:hAnsi="Times New Roman" w:cs="Times New Roman"/>
          <w:sz w:val="26"/>
          <w:szCs w:val="26"/>
        </w:rPr>
        <w:t>Now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what </w:t>
      </w:r>
      <w:proofErr w:type="spellStart"/>
      <w:r w:rsidR="00910F79">
        <w:rPr>
          <w:rFonts w:ascii="Times New Roman" w:hAnsi="Times New Roman" w:cs="Times New Roman"/>
          <w:sz w:val="26"/>
          <w:szCs w:val="26"/>
        </w:rPr>
        <w:t>H</w:t>
      </w:r>
      <w:r w:rsidR="00E87BBC">
        <w:rPr>
          <w:rFonts w:ascii="Times New Roman" w:hAnsi="Times New Roman" w:cs="Times New Roman"/>
          <w:sz w:val="26"/>
          <w:szCs w:val="26"/>
        </w:rPr>
        <w:t>alwarda</w:t>
      </w:r>
      <w:proofErr w:type="spellEnd"/>
      <w:r w:rsidR="007A6DB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20572" w:rsidRPr="00B9442D">
        <w:rPr>
          <w:rFonts w:ascii="Times New Roman" w:hAnsi="Times New Roman" w:cs="Times New Roman"/>
          <w:sz w:val="26"/>
          <w:szCs w:val="26"/>
        </w:rPr>
        <w:t>points out is the analogy with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Deuteronomy 18:6. In </w:t>
      </w:r>
      <w:r w:rsidR="007A6DBB" w:rsidRPr="00910F79">
        <w:rPr>
          <w:rFonts w:asciiTheme="majorBidi" w:hAnsiTheme="majorBidi" w:cstheme="majorBidi"/>
          <w:sz w:val="26"/>
          <w:szCs w:val="26"/>
        </w:rPr>
        <w:t>Deuteronomy 18:6</w:t>
      </w:r>
      <w:r w:rsidR="00EA5973" w:rsidRPr="00910F79">
        <w:rPr>
          <w:rFonts w:asciiTheme="majorBidi" w:hAnsiTheme="majorBidi" w:cstheme="majorBidi"/>
          <w:sz w:val="26"/>
          <w:szCs w:val="26"/>
        </w:rPr>
        <w:t>,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you have the regulation, </w:t>
      </w:r>
      <w:r w:rsidR="00910F79" w:rsidRPr="00910F79">
        <w:rPr>
          <w:rFonts w:asciiTheme="majorBidi" w:hAnsiTheme="majorBidi" w:cstheme="majorBidi"/>
          <w:sz w:val="26"/>
          <w:szCs w:val="26"/>
        </w:rPr>
        <w:t>“</w:t>
      </w:r>
      <w:r w:rsidR="002C400B">
        <w:rPr>
          <w:rFonts w:asciiTheme="majorBidi" w:hAnsiTheme="majorBidi" w:cstheme="majorBidi"/>
          <w:sz w:val="26"/>
          <w:szCs w:val="26"/>
        </w:rPr>
        <w:t>I</w:t>
      </w:r>
      <w:r w:rsidR="007A6DBB" w:rsidRPr="00910F79">
        <w:rPr>
          <w:rFonts w:asciiTheme="majorBidi" w:hAnsiTheme="majorBidi" w:cstheme="majorBidi"/>
          <w:sz w:val="26"/>
          <w:szCs w:val="26"/>
        </w:rPr>
        <w:t>f a Levite come</w:t>
      </w:r>
      <w:r w:rsidR="00910F79" w:rsidRPr="00910F79">
        <w:rPr>
          <w:rFonts w:asciiTheme="majorBidi" w:hAnsiTheme="majorBidi" w:cstheme="majorBidi"/>
          <w:sz w:val="26"/>
          <w:szCs w:val="26"/>
        </w:rPr>
        <w:t>s</w:t>
      </w:r>
      <w:r w:rsidR="002C400B">
        <w:rPr>
          <w:rFonts w:asciiTheme="majorBidi" w:hAnsiTheme="majorBidi" w:cstheme="majorBidi"/>
          <w:sz w:val="26"/>
          <w:szCs w:val="26"/>
        </w:rPr>
        <w:t>,</w:t>
      </w:r>
      <w:r w:rsidR="00910F79" w:rsidRPr="00910F79">
        <w:rPr>
          <w:rFonts w:asciiTheme="majorBidi" w:hAnsiTheme="majorBidi" w:cstheme="majorBidi"/>
          <w:sz w:val="26"/>
          <w:szCs w:val="26"/>
        </w:rPr>
        <w:t>”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and notice the King James translate</w:t>
      </w:r>
      <w:r w:rsidR="00E87BBC">
        <w:rPr>
          <w:rFonts w:asciiTheme="majorBidi" w:hAnsiTheme="majorBidi" w:cstheme="majorBidi"/>
          <w:sz w:val="26"/>
          <w:szCs w:val="26"/>
        </w:rPr>
        <w:t>s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this part</w:t>
      </w:r>
      <w:r w:rsidR="002C400B">
        <w:rPr>
          <w:rFonts w:asciiTheme="majorBidi" w:hAnsiTheme="majorBidi" w:cstheme="majorBidi"/>
          <w:sz w:val="26"/>
          <w:szCs w:val="26"/>
        </w:rPr>
        <w:t>: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</w:t>
      </w:r>
      <w:r w:rsidR="00910F79" w:rsidRPr="00910F79">
        <w:rPr>
          <w:rFonts w:asciiTheme="majorBidi" w:hAnsiTheme="majorBidi" w:cstheme="majorBidi"/>
          <w:sz w:val="26"/>
          <w:szCs w:val="26"/>
        </w:rPr>
        <w:t>“</w:t>
      </w:r>
      <w:r w:rsidR="00910F79" w:rsidRPr="00910F79">
        <w:rPr>
          <w:rFonts w:asciiTheme="majorBidi" w:hAnsiTheme="majorBidi" w:cstheme="majorBidi"/>
          <w:sz w:val="26"/>
          <w:szCs w:val="26"/>
          <w:lang w:bidi="he-IL"/>
        </w:rPr>
        <w:t>And if a Levite come</w:t>
      </w:r>
      <w:r w:rsidR="00E87BBC">
        <w:rPr>
          <w:rFonts w:asciiTheme="majorBidi" w:hAnsiTheme="majorBidi" w:cstheme="majorBidi"/>
          <w:sz w:val="26"/>
          <w:szCs w:val="26"/>
          <w:lang w:bidi="he-IL"/>
        </w:rPr>
        <w:t>s</w:t>
      </w:r>
      <w:r w:rsidR="00910F79" w:rsidRPr="00910F79">
        <w:rPr>
          <w:rFonts w:asciiTheme="majorBidi" w:hAnsiTheme="majorBidi" w:cstheme="majorBidi"/>
          <w:sz w:val="26"/>
          <w:szCs w:val="26"/>
          <w:lang w:bidi="he-IL"/>
        </w:rPr>
        <w:t xml:space="preserve"> from any of thy gates out of all Israel, where he sojourned, and come</w:t>
      </w:r>
      <w:r w:rsidR="002C400B">
        <w:rPr>
          <w:rFonts w:asciiTheme="majorBidi" w:hAnsiTheme="majorBidi" w:cstheme="majorBidi"/>
          <w:sz w:val="26"/>
          <w:szCs w:val="26"/>
          <w:lang w:bidi="he-IL"/>
        </w:rPr>
        <w:t>s</w:t>
      </w:r>
      <w:r w:rsidR="00910F79" w:rsidRPr="00910F79">
        <w:rPr>
          <w:rFonts w:asciiTheme="majorBidi" w:hAnsiTheme="majorBidi" w:cstheme="majorBidi"/>
          <w:sz w:val="26"/>
          <w:szCs w:val="26"/>
          <w:lang w:bidi="he-IL"/>
        </w:rPr>
        <w:t xml:space="preserve"> with all the desire of his mind unto the place which the LORD shall choose</w:t>
      </w:r>
      <w:r w:rsidR="002C400B">
        <w:rPr>
          <w:rFonts w:asciiTheme="majorBidi" w:hAnsiTheme="majorBidi" w:cstheme="majorBidi"/>
          <w:sz w:val="26"/>
          <w:szCs w:val="26"/>
          <w:lang w:bidi="he-IL"/>
        </w:rPr>
        <w:t>,</w:t>
      </w:r>
      <w:r w:rsidR="00910F79" w:rsidRPr="00910F79">
        <w:rPr>
          <w:rFonts w:asciiTheme="majorBidi" w:hAnsiTheme="majorBidi" w:cstheme="majorBidi"/>
          <w:sz w:val="26"/>
          <w:szCs w:val="26"/>
        </w:rPr>
        <w:t xml:space="preserve"> </w:t>
      </w:r>
      <w:r w:rsidR="002C400B">
        <w:rPr>
          <w:rFonts w:asciiTheme="majorBidi" w:hAnsiTheme="majorBidi" w:cstheme="majorBidi"/>
          <w:sz w:val="26"/>
          <w:szCs w:val="26"/>
        </w:rPr>
        <w:t>t</w:t>
      </w:r>
      <w:r w:rsidR="00910F79" w:rsidRPr="00910F79">
        <w:rPr>
          <w:rFonts w:asciiTheme="majorBidi" w:hAnsiTheme="majorBidi" w:cstheme="majorBidi"/>
          <w:sz w:val="26"/>
          <w:szCs w:val="26"/>
          <w:lang w:bidi="he-IL"/>
        </w:rPr>
        <w:t xml:space="preserve">hen he shall minister in the name of the LORD his God, as all his brethren the Levites </w:t>
      </w:r>
      <w:r w:rsidR="00910F79" w:rsidRPr="002C400B">
        <w:rPr>
          <w:rFonts w:asciiTheme="majorBidi" w:hAnsiTheme="majorBidi" w:cstheme="majorBidi"/>
          <w:sz w:val="26"/>
          <w:szCs w:val="26"/>
          <w:lang w:bidi="he-IL"/>
        </w:rPr>
        <w:t>do</w:t>
      </w:r>
      <w:r w:rsidR="00910F79" w:rsidRPr="00910F79">
        <w:rPr>
          <w:rFonts w:asciiTheme="majorBidi" w:hAnsiTheme="majorBidi" w:cstheme="majorBidi"/>
          <w:sz w:val="26"/>
          <w:szCs w:val="26"/>
          <w:lang w:bidi="he-IL"/>
        </w:rPr>
        <w:t>, which stand there before the LORD.</w:t>
      </w:r>
      <w:r w:rsidR="00910F79" w:rsidRPr="00910F79">
        <w:rPr>
          <w:rFonts w:asciiTheme="majorBidi" w:hAnsiTheme="majorBidi" w:cstheme="majorBidi"/>
          <w:sz w:val="26"/>
          <w:szCs w:val="26"/>
        </w:rPr>
        <w:t>”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Now</w:t>
      </w:r>
      <w:r w:rsidR="002C400B">
        <w:rPr>
          <w:rFonts w:asciiTheme="majorBidi" w:hAnsiTheme="majorBidi" w:cstheme="majorBidi"/>
          <w:sz w:val="26"/>
          <w:szCs w:val="26"/>
        </w:rPr>
        <w:t>,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the expression in the Hebrew </w:t>
      </w:r>
      <w:r w:rsidR="00EB359B" w:rsidRPr="00910F79">
        <w:rPr>
          <w:rFonts w:asciiTheme="majorBidi" w:hAnsiTheme="majorBidi" w:cstheme="majorBidi"/>
          <w:sz w:val="26"/>
          <w:szCs w:val="26"/>
        </w:rPr>
        <w:t xml:space="preserve">is </w:t>
      </w:r>
      <w:r w:rsidR="00370225" w:rsidRPr="00910F79">
        <w:rPr>
          <w:rFonts w:asciiTheme="majorBidi" w:hAnsiTheme="majorBidi" w:cstheme="majorBidi"/>
          <w:sz w:val="26"/>
          <w:szCs w:val="26"/>
        </w:rPr>
        <w:t>really identical</w:t>
      </w:r>
      <w:r w:rsidR="002C400B">
        <w:rPr>
          <w:rFonts w:asciiTheme="majorBidi" w:hAnsiTheme="majorBidi" w:cstheme="majorBidi"/>
          <w:sz w:val="26"/>
          <w:szCs w:val="26"/>
        </w:rPr>
        <w:t>,</w:t>
      </w:r>
      <w:r w:rsidR="00370225" w:rsidRPr="00910F79">
        <w:rPr>
          <w:rFonts w:asciiTheme="majorBidi" w:hAnsiTheme="majorBidi" w:cstheme="majorBidi"/>
          <w:sz w:val="26"/>
          <w:szCs w:val="26"/>
        </w:rPr>
        <w:t xml:space="preserve"> but the difference is in the debate of the </w:t>
      </w:r>
      <w:r w:rsidR="002C400B">
        <w:rPr>
          <w:rFonts w:asciiTheme="majorBidi" w:hAnsiTheme="majorBidi" w:cstheme="majorBidi"/>
          <w:sz w:val="26"/>
          <w:szCs w:val="26"/>
        </w:rPr>
        <w:t xml:space="preserve">Hebrew word </w:t>
      </w:r>
      <w:r w:rsidR="002C400B" w:rsidRPr="002C400B">
        <w:rPr>
          <w:rFonts w:asciiTheme="majorBidi" w:hAnsiTheme="majorBidi" w:cstheme="majorBidi"/>
          <w:i/>
          <w:iCs/>
          <w:sz w:val="26"/>
          <w:szCs w:val="26"/>
        </w:rPr>
        <w:t>’</w:t>
      </w:r>
      <w:proofErr w:type="spellStart"/>
      <w:r w:rsidR="002C400B" w:rsidRPr="002C400B">
        <w:rPr>
          <w:rFonts w:asciiTheme="majorBidi" w:hAnsiTheme="majorBidi" w:cstheme="majorBidi"/>
          <w:i/>
          <w:iCs/>
          <w:sz w:val="26"/>
          <w:szCs w:val="26"/>
        </w:rPr>
        <w:t>ehad</w:t>
      </w:r>
      <w:proofErr w:type="spellEnd"/>
      <w:r w:rsidR="002C400B">
        <w:rPr>
          <w:rFonts w:asciiTheme="majorBidi" w:hAnsiTheme="majorBidi" w:cstheme="majorBidi"/>
          <w:sz w:val="26"/>
          <w:szCs w:val="26"/>
        </w:rPr>
        <w:t xml:space="preserve">: </w:t>
      </w:r>
      <w:r w:rsidR="00370225" w:rsidRPr="00910F79">
        <w:rPr>
          <w:rFonts w:asciiTheme="majorBidi" w:hAnsiTheme="majorBidi" w:cstheme="majorBidi"/>
          <w:sz w:val="26"/>
          <w:szCs w:val="26"/>
        </w:rPr>
        <w:t xml:space="preserve"> </w:t>
      </w:r>
      <w:r w:rsidR="00910F79">
        <w:rPr>
          <w:rFonts w:asciiTheme="majorBidi" w:hAnsiTheme="majorBidi" w:cstheme="majorBidi"/>
          <w:sz w:val="26"/>
          <w:szCs w:val="26"/>
        </w:rPr>
        <w:t>“</w:t>
      </w:r>
      <w:r w:rsidR="00EB359B" w:rsidRPr="00910F79">
        <w:rPr>
          <w:rFonts w:asciiTheme="majorBidi" w:hAnsiTheme="majorBidi" w:cstheme="majorBidi"/>
          <w:sz w:val="26"/>
          <w:szCs w:val="26"/>
        </w:rPr>
        <w:t xml:space="preserve">from </w:t>
      </w:r>
      <w:r w:rsidR="007A6DBB" w:rsidRPr="002C400B">
        <w:rPr>
          <w:rFonts w:asciiTheme="majorBidi" w:hAnsiTheme="majorBidi" w:cstheme="majorBidi"/>
          <w:i/>
          <w:iCs/>
          <w:sz w:val="26"/>
          <w:szCs w:val="26"/>
        </w:rPr>
        <w:t>one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of your gates</w:t>
      </w:r>
      <w:r w:rsidR="00910F79">
        <w:rPr>
          <w:rFonts w:asciiTheme="majorBidi" w:hAnsiTheme="majorBidi" w:cstheme="majorBidi"/>
          <w:sz w:val="26"/>
          <w:szCs w:val="26"/>
        </w:rPr>
        <w:t>”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or </w:t>
      </w:r>
      <w:r w:rsidR="00910F79">
        <w:rPr>
          <w:rFonts w:asciiTheme="majorBidi" w:hAnsiTheme="majorBidi" w:cstheme="majorBidi"/>
          <w:sz w:val="26"/>
          <w:szCs w:val="26"/>
        </w:rPr>
        <w:t xml:space="preserve">“from </w:t>
      </w:r>
      <w:r w:rsidR="007A6DBB" w:rsidRPr="002C400B">
        <w:rPr>
          <w:rFonts w:asciiTheme="majorBidi" w:hAnsiTheme="majorBidi" w:cstheme="majorBidi"/>
          <w:i/>
          <w:iCs/>
          <w:sz w:val="26"/>
          <w:szCs w:val="26"/>
        </w:rPr>
        <w:t>any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of your gates.</w:t>
      </w:r>
      <w:r w:rsidR="00910F79">
        <w:rPr>
          <w:rFonts w:asciiTheme="majorBidi" w:hAnsiTheme="majorBidi" w:cstheme="majorBidi"/>
          <w:sz w:val="26"/>
          <w:szCs w:val="26"/>
        </w:rPr>
        <w:t>”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But the point is </w:t>
      </w:r>
      <w:r w:rsidR="002C400B">
        <w:rPr>
          <w:rFonts w:asciiTheme="majorBidi" w:hAnsiTheme="majorBidi" w:cstheme="majorBidi"/>
          <w:sz w:val="26"/>
          <w:szCs w:val="26"/>
        </w:rPr>
        <w:t>that this</w:t>
      </w:r>
      <w:r w:rsidR="007A6DBB" w:rsidRPr="00910F79">
        <w:rPr>
          <w:rFonts w:asciiTheme="majorBidi" w:hAnsiTheme="majorBidi" w:cstheme="majorBidi"/>
          <w:sz w:val="26"/>
          <w:szCs w:val="26"/>
        </w:rPr>
        <w:t xml:space="preserve"> is not a rule for a Levite coming from</w:t>
      </w:r>
      <w:r w:rsidR="00EB359B" w:rsidRPr="00910F79">
        <w:rPr>
          <w:rFonts w:asciiTheme="majorBidi" w:hAnsiTheme="majorBidi" w:cstheme="majorBidi"/>
          <w:sz w:val="26"/>
          <w:szCs w:val="26"/>
        </w:rPr>
        <w:t xml:space="preserve"> </w:t>
      </w:r>
      <w:r w:rsidR="00EB359B" w:rsidRPr="002C400B">
        <w:rPr>
          <w:rFonts w:asciiTheme="majorBidi" w:hAnsiTheme="majorBidi" w:cstheme="majorBidi"/>
          <w:i/>
          <w:iCs/>
          <w:sz w:val="26"/>
          <w:szCs w:val="26"/>
        </w:rPr>
        <w:t>one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 particular gate</w:t>
      </w:r>
      <w:r w:rsidR="00F64B63" w:rsidRPr="00B9442D">
        <w:rPr>
          <w:rFonts w:ascii="Times New Roman" w:hAnsi="Times New Roman" w:cs="Times New Roman"/>
          <w:sz w:val="26"/>
          <w:szCs w:val="26"/>
        </w:rPr>
        <w:t>,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 but f</w:t>
      </w:r>
      <w:r w:rsidR="00E87BBC">
        <w:rPr>
          <w:rFonts w:ascii="Times New Roman" w:hAnsi="Times New Roman" w:cs="Times New Roman"/>
          <w:sz w:val="26"/>
          <w:szCs w:val="26"/>
        </w:rPr>
        <w:t xml:space="preserve">or </w:t>
      </w:r>
      <w:r w:rsidR="00EB359B" w:rsidRPr="002C400B">
        <w:rPr>
          <w:rFonts w:ascii="Times New Roman" w:hAnsi="Times New Roman" w:cs="Times New Roman"/>
          <w:i/>
          <w:iCs/>
          <w:sz w:val="26"/>
          <w:szCs w:val="26"/>
        </w:rPr>
        <w:t>every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Levite coming from </w:t>
      </w:r>
      <w:r w:rsidR="007A6DBB" w:rsidRPr="002C400B">
        <w:rPr>
          <w:rFonts w:ascii="Times New Roman" w:hAnsi="Times New Roman" w:cs="Times New Roman"/>
          <w:i/>
          <w:iCs/>
          <w:sz w:val="26"/>
          <w:szCs w:val="26"/>
        </w:rPr>
        <w:t>any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gate. </w:t>
      </w:r>
      <w:r w:rsidR="00910F79">
        <w:rPr>
          <w:rFonts w:ascii="Times New Roman" w:hAnsi="Times New Roman" w:cs="Times New Roman"/>
          <w:sz w:val="26"/>
          <w:szCs w:val="26"/>
        </w:rPr>
        <w:t>“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If a Levite comes, any Levite </w:t>
      </w:r>
      <w:r w:rsidR="001F05F9" w:rsidRPr="00B9442D">
        <w:rPr>
          <w:rFonts w:ascii="Times New Roman" w:hAnsi="Times New Roman" w:cs="Times New Roman"/>
          <w:sz w:val="26"/>
          <w:szCs w:val="26"/>
        </w:rPr>
        <w:t>comes</w:t>
      </w:r>
      <w:r w:rsidR="00E87BBC">
        <w:rPr>
          <w:rFonts w:ascii="Times New Roman" w:hAnsi="Times New Roman" w:cs="Times New Roman"/>
          <w:sz w:val="26"/>
          <w:szCs w:val="26"/>
        </w:rPr>
        <w:t>,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from any of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thy gates.</w:t>
      </w:r>
      <w:r w:rsidR="00910F79">
        <w:rPr>
          <w:rFonts w:ascii="Times New Roman" w:hAnsi="Times New Roman" w:cs="Times New Roman"/>
          <w:sz w:val="26"/>
          <w:szCs w:val="26"/>
        </w:rPr>
        <w:t>”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So </w:t>
      </w:r>
      <w:r w:rsidR="007A6DBB" w:rsidRPr="00B9442D">
        <w:rPr>
          <w:rFonts w:ascii="Times New Roman" w:hAnsi="Times New Roman" w:cs="Times New Roman"/>
          <w:sz w:val="26"/>
          <w:szCs w:val="26"/>
        </w:rPr>
        <w:t>the expre</w:t>
      </w:r>
      <w:r w:rsidR="00F64B63" w:rsidRPr="00B9442D">
        <w:rPr>
          <w:rFonts w:ascii="Times New Roman" w:hAnsi="Times New Roman" w:cs="Times New Roman"/>
          <w:sz w:val="26"/>
          <w:szCs w:val="26"/>
        </w:rPr>
        <w:t>ssion can be translated explicitly either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way </w:t>
      </w:r>
      <w:r w:rsidR="00E87BBC">
        <w:rPr>
          <w:rFonts w:ascii="Times New Roman" w:hAnsi="Times New Roman" w:cs="Times New Roman"/>
          <w:sz w:val="26"/>
          <w:szCs w:val="26"/>
        </w:rPr>
        <w:t>“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from 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one </w:t>
      </w:r>
      <w:r w:rsidR="00EB359B" w:rsidRPr="00B9442D">
        <w:rPr>
          <w:rFonts w:ascii="Times New Roman" w:hAnsi="Times New Roman" w:cs="Times New Roman"/>
          <w:sz w:val="26"/>
          <w:szCs w:val="26"/>
        </w:rPr>
        <w:t>of</w:t>
      </w:r>
      <w:r w:rsidR="00910F79">
        <w:rPr>
          <w:rFonts w:ascii="Times New Roman" w:hAnsi="Times New Roman" w:cs="Times New Roman"/>
          <w:sz w:val="26"/>
          <w:szCs w:val="26"/>
        </w:rPr>
        <w:t xml:space="preserve">” 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or </w:t>
      </w:r>
      <w:r w:rsidR="00910F79">
        <w:rPr>
          <w:rFonts w:ascii="Times New Roman" w:hAnsi="Times New Roman" w:cs="Times New Roman"/>
          <w:sz w:val="26"/>
          <w:szCs w:val="26"/>
        </w:rPr>
        <w:t>“</w:t>
      </w:r>
      <w:r w:rsidR="00E87BBC">
        <w:rPr>
          <w:rFonts w:ascii="Times New Roman" w:hAnsi="Times New Roman" w:cs="Times New Roman"/>
          <w:sz w:val="26"/>
          <w:szCs w:val="26"/>
        </w:rPr>
        <w:t xml:space="preserve">from </w:t>
      </w:r>
      <w:r w:rsidR="00EB359B" w:rsidRPr="00B9442D">
        <w:rPr>
          <w:rFonts w:ascii="Times New Roman" w:hAnsi="Times New Roman" w:cs="Times New Roman"/>
          <w:sz w:val="26"/>
          <w:szCs w:val="26"/>
        </w:rPr>
        <w:t>any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F64B63" w:rsidRPr="00B9442D">
        <w:rPr>
          <w:rFonts w:ascii="Times New Roman" w:hAnsi="Times New Roman" w:cs="Times New Roman"/>
          <w:sz w:val="26"/>
          <w:szCs w:val="26"/>
        </w:rPr>
        <w:t>of</w:t>
      </w:r>
      <w:r w:rsidR="00E87BBC">
        <w:rPr>
          <w:rFonts w:ascii="Times New Roman" w:hAnsi="Times New Roman" w:cs="Times New Roman"/>
          <w:sz w:val="26"/>
          <w:szCs w:val="26"/>
        </w:rPr>
        <w:t>.</w:t>
      </w:r>
      <w:r w:rsidR="00910F79">
        <w:rPr>
          <w:rFonts w:ascii="Times New Roman" w:hAnsi="Times New Roman" w:cs="Times New Roman"/>
          <w:sz w:val="26"/>
          <w:szCs w:val="26"/>
        </w:rPr>
        <w:t>”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87BBC">
        <w:rPr>
          <w:rFonts w:ascii="Times New Roman" w:hAnsi="Times New Roman" w:cs="Times New Roman"/>
          <w:sz w:val="26"/>
          <w:szCs w:val="26"/>
        </w:rPr>
        <w:t xml:space="preserve"> I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t depends on a large </w:t>
      </w:r>
      <w:r w:rsidR="007A6DBB" w:rsidRPr="00B9442D">
        <w:rPr>
          <w:rFonts w:ascii="Times New Roman" w:hAnsi="Times New Roman" w:cs="Times New Roman"/>
          <w:sz w:val="26"/>
          <w:szCs w:val="26"/>
        </w:rPr>
        <w:lastRenderedPageBreak/>
        <w:t>degree on the context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87BBC">
        <w:rPr>
          <w:rFonts w:ascii="Times New Roman" w:hAnsi="Times New Roman" w:cs="Times New Roman"/>
          <w:sz w:val="26"/>
          <w:szCs w:val="26"/>
        </w:rPr>
        <w:t>in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which it is placed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.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  <w:t xml:space="preserve">4.  Deuteronomy 12:14: Numbers 16:7 [Korah Rebellion], </w:t>
      </w:r>
      <w:r w:rsidR="001A0503">
        <w:rPr>
          <w:rFonts w:ascii="Times New Roman" w:hAnsi="Times New Roman" w:cs="Times New Roman"/>
          <w:sz w:val="26"/>
          <w:szCs w:val="26"/>
        </w:rPr>
        <w:t>Singularity</w:t>
      </w:r>
      <w:r w:rsidR="001A0503">
        <w:rPr>
          <w:rFonts w:ascii="Times New Roman" w:hAnsi="Times New Roman" w:cs="Times New Roman"/>
          <w:sz w:val="26"/>
          <w:szCs w:val="26"/>
        </w:rPr>
        <w:t>?</w:t>
      </w:r>
      <w:r w:rsidR="00910F79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ab/>
      </w:r>
      <w:r w:rsidR="00F64B63" w:rsidRPr="00B9442D">
        <w:rPr>
          <w:rFonts w:ascii="Times New Roman" w:hAnsi="Times New Roman" w:cs="Times New Roman"/>
          <w:sz w:val="26"/>
          <w:szCs w:val="26"/>
        </w:rPr>
        <w:t>But t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hen </w:t>
      </w:r>
      <w:r w:rsidR="00370225" w:rsidRPr="00B9442D">
        <w:rPr>
          <w:rFonts w:ascii="Times New Roman" w:hAnsi="Times New Roman" w:cs="Times New Roman"/>
          <w:sz w:val="26"/>
          <w:szCs w:val="26"/>
        </w:rPr>
        <w:t xml:space="preserve">you </w:t>
      </w:r>
      <w:r w:rsidR="007A6DBB" w:rsidRPr="00B9442D">
        <w:rPr>
          <w:rFonts w:ascii="Times New Roman" w:hAnsi="Times New Roman" w:cs="Times New Roman"/>
          <w:sz w:val="26"/>
          <w:szCs w:val="26"/>
        </w:rPr>
        <w:t>notice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getting back to Deuteronomy 12:14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i</w:t>
      </w:r>
      <w:r w:rsidR="00910F79">
        <w:rPr>
          <w:rFonts w:ascii="Times New Roman" w:hAnsi="Times New Roman" w:cs="Times New Roman"/>
          <w:sz w:val="26"/>
          <w:szCs w:val="26"/>
        </w:rPr>
        <w:t>t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says</w:t>
      </w:r>
      <w:r w:rsidR="00910F79">
        <w:rPr>
          <w:rFonts w:ascii="Times New Roman" w:hAnsi="Times New Roman" w:cs="Times New Roman"/>
          <w:sz w:val="26"/>
          <w:szCs w:val="26"/>
        </w:rPr>
        <w:t>,</w:t>
      </w:r>
      <w:r w:rsidR="007A6DB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>“</w:t>
      </w:r>
      <w:r w:rsidR="007A6DBB" w:rsidRPr="00B9442D">
        <w:rPr>
          <w:rFonts w:ascii="Times New Roman" w:hAnsi="Times New Roman" w:cs="Times New Roman"/>
          <w:sz w:val="26"/>
          <w:szCs w:val="26"/>
        </w:rPr>
        <w:t>in the place</w:t>
      </w:r>
      <w:r w:rsidR="00910F79">
        <w:rPr>
          <w:rFonts w:ascii="Times New Roman" w:hAnsi="Times New Roman" w:cs="Times New Roman"/>
          <w:sz w:val="26"/>
          <w:szCs w:val="26"/>
        </w:rPr>
        <w:t>.”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>I</w:t>
      </w:r>
      <w:r w:rsidR="00C177EF" w:rsidRPr="00B9442D">
        <w:rPr>
          <w:rFonts w:ascii="Times New Roman" w:hAnsi="Times New Roman" w:cs="Times New Roman"/>
          <w:sz w:val="26"/>
          <w:szCs w:val="26"/>
        </w:rPr>
        <w:t>sn’t that</w:t>
      </w:r>
      <w:r w:rsidR="00370225" w:rsidRPr="00B9442D">
        <w:rPr>
          <w:rFonts w:ascii="Times New Roman" w:hAnsi="Times New Roman" w:cs="Times New Roman"/>
          <w:sz w:val="26"/>
          <w:szCs w:val="26"/>
        </w:rPr>
        <w:t xml:space="preserve"> in the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singular? </w:t>
      </w:r>
      <w:r w:rsidR="00910F79">
        <w:rPr>
          <w:rFonts w:ascii="Times New Roman" w:hAnsi="Times New Roman" w:cs="Times New Roman"/>
          <w:sz w:val="26"/>
          <w:szCs w:val="26"/>
        </w:rPr>
        <w:t>If m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ore than one place was 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meant </w:t>
      </w:r>
      <w:r w:rsidR="00370225" w:rsidRPr="00B9442D">
        <w:rPr>
          <w:rFonts w:ascii="Times New Roman" w:hAnsi="Times New Roman" w:cs="Times New Roman"/>
          <w:sz w:val="26"/>
          <w:szCs w:val="26"/>
        </w:rPr>
        <w:t xml:space="preserve">would </w:t>
      </w:r>
      <w:r w:rsidR="00E87BBC">
        <w:rPr>
          <w:rFonts w:ascii="Times New Roman" w:hAnsi="Times New Roman" w:cs="Times New Roman"/>
          <w:sz w:val="26"/>
          <w:szCs w:val="26"/>
        </w:rPr>
        <w:t xml:space="preserve">it not </w:t>
      </w:r>
      <w:r w:rsidR="00370225" w:rsidRPr="00B9442D">
        <w:rPr>
          <w:rFonts w:ascii="Times New Roman" w:hAnsi="Times New Roman" w:cs="Times New Roman"/>
          <w:sz w:val="26"/>
          <w:szCs w:val="26"/>
        </w:rPr>
        <w:t>require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a plural,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>“</w:t>
      </w:r>
      <w:r w:rsidR="00120572" w:rsidRPr="00B9442D">
        <w:rPr>
          <w:rFonts w:ascii="Times New Roman" w:hAnsi="Times New Roman" w:cs="Times New Roman"/>
          <w:sz w:val="26"/>
          <w:szCs w:val="26"/>
        </w:rPr>
        <w:t xml:space="preserve">in </w:t>
      </w:r>
      <w:r w:rsidR="00EB359B" w:rsidRPr="00B9442D">
        <w:rPr>
          <w:rFonts w:ascii="Times New Roman" w:hAnsi="Times New Roman" w:cs="Times New Roman"/>
          <w:sz w:val="26"/>
          <w:szCs w:val="26"/>
        </w:rPr>
        <w:t xml:space="preserve">the places </w:t>
      </w:r>
      <w:r w:rsidR="001F05F9" w:rsidRPr="00B9442D">
        <w:rPr>
          <w:rFonts w:ascii="Times New Roman" w:hAnsi="Times New Roman" w:cs="Times New Roman"/>
          <w:sz w:val="26"/>
          <w:szCs w:val="26"/>
        </w:rPr>
        <w:t>which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the Lord shall choose</w:t>
      </w:r>
      <w:r w:rsidR="00910F79">
        <w:rPr>
          <w:rFonts w:ascii="Times New Roman" w:hAnsi="Times New Roman" w:cs="Times New Roman"/>
          <w:sz w:val="26"/>
          <w:szCs w:val="26"/>
        </w:rPr>
        <w:t>”</w:t>
      </w:r>
      <w:r w:rsidR="00C177EF" w:rsidRPr="00B9442D">
        <w:rPr>
          <w:rFonts w:ascii="Times New Roman" w:hAnsi="Times New Roman" w:cs="Times New Roman"/>
          <w:sz w:val="26"/>
          <w:szCs w:val="26"/>
        </w:rPr>
        <w:t>? But again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not necessarily</w:t>
      </w:r>
      <w:r w:rsidR="002C400B">
        <w:rPr>
          <w:rFonts w:ascii="Times New Roman" w:hAnsi="Times New Roman" w:cs="Times New Roman"/>
          <w:sz w:val="26"/>
          <w:szCs w:val="26"/>
        </w:rPr>
        <w:t>;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it may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but not necessarily so. In </w:t>
      </w:r>
      <w:r w:rsidR="00910F79">
        <w:rPr>
          <w:rFonts w:ascii="Times New Roman" w:hAnsi="Times New Roman" w:cs="Times New Roman"/>
          <w:sz w:val="26"/>
          <w:szCs w:val="26"/>
        </w:rPr>
        <w:t>N</w:t>
      </w:r>
      <w:r w:rsidR="00C177EF" w:rsidRPr="00B9442D">
        <w:rPr>
          <w:rFonts w:ascii="Times New Roman" w:hAnsi="Times New Roman" w:cs="Times New Roman"/>
          <w:sz w:val="26"/>
          <w:szCs w:val="26"/>
        </w:rPr>
        <w:t>umbers 16: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7, </w:t>
      </w:r>
      <w:r w:rsidR="00910F79">
        <w:rPr>
          <w:rFonts w:ascii="Times New Roman" w:hAnsi="Times New Roman" w:cs="Times New Roman"/>
          <w:sz w:val="26"/>
          <w:szCs w:val="26"/>
        </w:rPr>
        <w:t>you read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in connection with the uprising of the rebellion with </w:t>
      </w:r>
      <w:r w:rsidR="00910F79">
        <w:rPr>
          <w:rFonts w:ascii="Times New Roman" w:hAnsi="Times New Roman" w:cs="Times New Roman"/>
          <w:sz w:val="26"/>
          <w:szCs w:val="26"/>
        </w:rPr>
        <w:t xml:space="preserve">Korah, </w:t>
      </w:r>
      <w:proofErr w:type="spellStart"/>
      <w:r w:rsidR="00910F79">
        <w:rPr>
          <w:rFonts w:ascii="Times New Roman" w:hAnsi="Times New Roman" w:cs="Times New Roman"/>
          <w:sz w:val="26"/>
          <w:szCs w:val="26"/>
        </w:rPr>
        <w:t>Dathan</w:t>
      </w:r>
      <w:proofErr w:type="spellEnd"/>
      <w:r w:rsidR="002C400B">
        <w:rPr>
          <w:rFonts w:ascii="Times New Roman" w:hAnsi="Times New Roman" w:cs="Times New Roman"/>
          <w:sz w:val="26"/>
          <w:szCs w:val="26"/>
        </w:rPr>
        <w:t>,</w:t>
      </w:r>
      <w:r w:rsidR="00910F79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910F79">
        <w:rPr>
          <w:rFonts w:ascii="Times New Roman" w:hAnsi="Times New Roman" w:cs="Times New Roman"/>
          <w:sz w:val="26"/>
          <w:szCs w:val="26"/>
        </w:rPr>
        <w:t>Abiram</w:t>
      </w:r>
      <w:proofErr w:type="spellEnd"/>
      <w:r w:rsidR="00F64B6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70225" w:rsidRPr="00B9442D">
        <w:rPr>
          <w:rFonts w:ascii="Times New Roman" w:hAnsi="Times New Roman" w:cs="Times New Roman"/>
          <w:sz w:val="26"/>
          <w:szCs w:val="26"/>
        </w:rPr>
        <w:t>in the wilderness</w:t>
      </w:r>
      <w:r w:rsidR="00910F79">
        <w:rPr>
          <w:rFonts w:ascii="Times New Roman" w:hAnsi="Times New Roman" w:cs="Times New Roman"/>
          <w:sz w:val="26"/>
          <w:szCs w:val="26"/>
        </w:rPr>
        <w:t>: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>“</w:t>
      </w:r>
      <w:r w:rsidR="002C400B">
        <w:rPr>
          <w:rFonts w:ascii="Times New Roman" w:hAnsi="Times New Roman" w:cs="Times New Roman"/>
          <w:sz w:val="26"/>
          <w:szCs w:val="26"/>
        </w:rPr>
        <w:t>T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ake </w:t>
      </w:r>
      <w:r w:rsidR="002C400B">
        <w:rPr>
          <w:rFonts w:ascii="Times New Roman" w:hAnsi="Times New Roman" w:cs="Times New Roman"/>
          <w:sz w:val="26"/>
          <w:szCs w:val="26"/>
        </w:rPr>
        <w:t xml:space="preserve">censers from all and </w:t>
      </w:r>
      <w:r w:rsidR="00F64B63" w:rsidRPr="00B9442D">
        <w:rPr>
          <w:rFonts w:ascii="Times New Roman" w:hAnsi="Times New Roman" w:cs="Times New Roman"/>
          <w:sz w:val="26"/>
          <w:szCs w:val="26"/>
        </w:rPr>
        <w:t>put fire therein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put incense in them before the Lord tomorrow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and it shall be 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that 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the man 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whom </w:t>
      </w:r>
      <w:r w:rsidR="00C177EF" w:rsidRPr="00B9442D">
        <w:rPr>
          <w:rFonts w:ascii="Times New Roman" w:hAnsi="Times New Roman" w:cs="Times New Roman"/>
          <w:sz w:val="26"/>
          <w:szCs w:val="26"/>
        </w:rPr>
        <w:t>the LORD thus choose</w:t>
      </w:r>
      <w:r w:rsidR="002C400B">
        <w:rPr>
          <w:rFonts w:ascii="Times New Roman" w:hAnsi="Times New Roman" w:cs="Times New Roman"/>
          <w:sz w:val="26"/>
          <w:szCs w:val="26"/>
        </w:rPr>
        <w:t>s,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he shall be holy. </w:t>
      </w:r>
      <w:r w:rsidR="00E87BBC">
        <w:rPr>
          <w:rFonts w:ascii="Times New Roman" w:hAnsi="Times New Roman" w:cs="Times New Roman"/>
          <w:sz w:val="26"/>
          <w:szCs w:val="26"/>
        </w:rPr>
        <w:t xml:space="preserve">You 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take </w:t>
      </w:r>
      <w:r w:rsidR="001F05F9" w:rsidRPr="00B9442D">
        <w:rPr>
          <w:rFonts w:ascii="Times New Roman" w:hAnsi="Times New Roman" w:cs="Times New Roman"/>
          <w:sz w:val="26"/>
          <w:szCs w:val="26"/>
        </w:rPr>
        <w:t>too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F64B63" w:rsidRPr="00B9442D">
        <w:rPr>
          <w:rFonts w:ascii="Times New Roman" w:hAnsi="Times New Roman" w:cs="Times New Roman"/>
          <w:sz w:val="26"/>
          <w:szCs w:val="26"/>
        </w:rPr>
        <w:t>much upon you, ye sons of Levi</w:t>
      </w:r>
      <w:r w:rsidR="002C400B">
        <w:rPr>
          <w:rFonts w:ascii="Times New Roman" w:hAnsi="Times New Roman" w:cs="Times New Roman"/>
          <w:sz w:val="26"/>
          <w:szCs w:val="26"/>
        </w:rPr>
        <w:t>”</w:t>
      </w:r>
      <w:r w:rsidR="00910F79">
        <w:rPr>
          <w:rFonts w:ascii="Times New Roman" w:hAnsi="Times New Roman" w:cs="Times New Roman"/>
          <w:sz w:val="26"/>
          <w:szCs w:val="26"/>
        </w:rPr>
        <w:t xml:space="preserve"> </w:t>
      </w:r>
      <w:r w:rsidR="002C400B">
        <w:rPr>
          <w:rFonts w:ascii="Times New Roman" w:hAnsi="Times New Roman" w:cs="Times New Roman"/>
          <w:sz w:val="26"/>
          <w:szCs w:val="26"/>
        </w:rPr>
        <w:t>and s</w:t>
      </w:r>
      <w:r w:rsidR="00F64B63" w:rsidRPr="00B9442D">
        <w:rPr>
          <w:rFonts w:ascii="Times New Roman" w:hAnsi="Times New Roman" w:cs="Times New Roman"/>
          <w:sz w:val="26"/>
          <w:szCs w:val="26"/>
        </w:rPr>
        <w:t>o forth.</w:t>
      </w:r>
      <w:r w:rsidR="00C177EF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F64B63" w:rsidRPr="00B9442D">
        <w:rPr>
          <w:rFonts w:ascii="Times New Roman" w:hAnsi="Times New Roman" w:cs="Times New Roman"/>
          <w:sz w:val="26"/>
          <w:szCs w:val="26"/>
        </w:rPr>
        <w:t>Now the point is</w:t>
      </w:r>
      <w:r w:rsidR="00E87BBC">
        <w:rPr>
          <w:rFonts w:ascii="Times New Roman" w:hAnsi="Times New Roman" w:cs="Times New Roman"/>
          <w:sz w:val="26"/>
          <w:szCs w:val="26"/>
        </w:rPr>
        <w:t>:</w:t>
      </w:r>
      <w:r w:rsidR="00F64B6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>“</w:t>
      </w:r>
      <w:r w:rsidR="002C400B">
        <w:rPr>
          <w:rFonts w:ascii="Times New Roman" w:hAnsi="Times New Roman" w:cs="Times New Roman"/>
          <w:sz w:val="26"/>
          <w:szCs w:val="26"/>
        </w:rPr>
        <w:t>T</w:t>
      </w:r>
      <w:r w:rsidR="00C53A5B" w:rsidRPr="00B9442D">
        <w:rPr>
          <w:rFonts w:ascii="Times New Roman" w:hAnsi="Times New Roman" w:cs="Times New Roman"/>
          <w:sz w:val="26"/>
          <w:szCs w:val="26"/>
        </w:rPr>
        <w:t>he man who</w:t>
      </w:r>
      <w:r w:rsidR="002C400B">
        <w:rPr>
          <w:rFonts w:ascii="Times New Roman" w:hAnsi="Times New Roman" w:cs="Times New Roman"/>
          <w:sz w:val="26"/>
          <w:szCs w:val="26"/>
        </w:rPr>
        <w:t>m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 the Lord thus </w:t>
      </w:r>
      <w:r w:rsidR="001F05F9" w:rsidRPr="00B9442D">
        <w:rPr>
          <w:rFonts w:ascii="Times New Roman" w:hAnsi="Times New Roman" w:cs="Times New Roman"/>
          <w:sz w:val="26"/>
          <w:szCs w:val="26"/>
        </w:rPr>
        <w:t>chooses</w:t>
      </w:r>
      <w:r w:rsidR="00C53A5B" w:rsidRPr="00B9442D">
        <w:rPr>
          <w:rFonts w:ascii="Times New Roman" w:hAnsi="Times New Roman" w:cs="Times New Roman"/>
          <w:sz w:val="26"/>
          <w:szCs w:val="26"/>
        </w:rPr>
        <w:t>.</w:t>
      </w:r>
      <w:r w:rsidR="00910F79">
        <w:rPr>
          <w:rFonts w:ascii="Times New Roman" w:hAnsi="Times New Roman" w:cs="Times New Roman"/>
          <w:sz w:val="26"/>
          <w:szCs w:val="26"/>
        </w:rPr>
        <w:t>”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 xml:space="preserve"> The phrase is identical there</w:t>
      </w:r>
      <w:r w:rsidR="002C400B">
        <w:rPr>
          <w:rFonts w:ascii="Times New Roman" w:hAnsi="Times New Roman" w:cs="Times New Roman"/>
          <w:sz w:val="26"/>
          <w:szCs w:val="26"/>
        </w:rPr>
        <w:t>:</w:t>
      </w:r>
      <w:r w:rsidR="00910F79">
        <w:rPr>
          <w:rFonts w:ascii="Times New Roman" w:hAnsi="Times New Roman" w:cs="Times New Roman"/>
          <w:sz w:val="26"/>
          <w:szCs w:val="26"/>
        </w:rPr>
        <w:t xml:space="preserve"> 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10F79">
        <w:rPr>
          <w:rFonts w:ascii="Times New Roman" w:hAnsi="Times New Roman" w:cs="Times New Roman"/>
          <w:sz w:val="26"/>
          <w:szCs w:val="26"/>
        </w:rPr>
        <w:t>“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the </w:t>
      </w:r>
      <w:r w:rsidR="009E7809" w:rsidRPr="00B9442D">
        <w:rPr>
          <w:rFonts w:ascii="Times New Roman" w:hAnsi="Times New Roman" w:cs="Times New Roman"/>
          <w:sz w:val="26"/>
          <w:szCs w:val="26"/>
        </w:rPr>
        <w:t>man</w:t>
      </w:r>
      <w:r w:rsidR="00910F79">
        <w:rPr>
          <w:rFonts w:ascii="Times New Roman" w:hAnsi="Times New Roman" w:cs="Times New Roman"/>
          <w:sz w:val="26"/>
          <w:szCs w:val="26"/>
        </w:rPr>
        <w:t>”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is </w:t>
      </w:r>
      <w:r w:rsidR="00370225" w:rsidRPr="00B9442D">
        <w:rPr>
          <w:rFonts w:ascii="Times New Roman" w:hAnsi="Times New Roman" w:cs="Times New Roman"/>
          <w:sz w:val="26"/>
          <w:szCs w:val="26"/>
        </w:rPr>
        <w:t>singular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 but the question is if the </w:t>
      </w:r>
      <w:r w:rsidR="00E87BBC">
        <w:rPr>
          <w:rFonts w:ascii="Times New Roman" w:hAnsi="Times New Roman" w:cs="Times New Roman"/>
          <w:sz w:val="26"/>
          <w:szCs w:val="26"/>
        </w:rPr>
        <w:t>office of the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priest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 and leaders comprise</w:t>
      </w:r>
      <w:r w:rsidR="00E87BBC">
        <w:rPr>
          <w:rFonts w:ascii="Times New Roman" w:hAnsi="Times New Roman" w:cs="Times New Roman"/>
          <w:sz w:val="26"/>
          <w:szCs w:val="26"/>
        </w:rPr>
        <w:t>d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 of Moses and Aaron </w:t>
      </w:r>
      <w:r w:rsidR="00E87BBC">
        <w:rPr>
          <w:rFonts w:ascii="Times New Roman" w:hAnsi="Times New Roman" w:cs="Times New Roman"/>
          <w:sz w:val="26"/>
          <w:szCs w:val="26"/>
        </w:rPr>
        <w:t>can</w:t>
      </w:r>
      <w:r w:rsidR="00C53A5B" w:rsidRPr="00B9442D">
        <w:rPr>
          <w:rFonts w:ascii="Times New Roman" w:hAnsi="Times New Roman" w:cs="Times New Roman"/>
          <w:sz w:val="26"/>
          <w:szCs w:val="26"/>
        </w:rPr>
        <w:t xml:space="preserve"> be extended to the </w:t>
      </w:r>
      <w:r w:rsidR="00910F79">
        <w:rPr>
          <w:rFonts w:ascii="Times New Roman" w:hAnsi="Times New Roman" w:cs="Times New Roman"/>
          <w:sz w:val="26"/>
          <w:szCs w:val="26"/>
        </w:rPr>
        <w:t>250</w:t>
      </w:r>
      <w:r w:rsidR="00F638B5">
        <w:rPr>
          <w:rFonts w:ascii="Times New Roman" w:hAnsi="Times New Roman" w:cs="Times New Roman"/>
          <w:sz w:val="26"/>
          <w:szCs w:val="26"/>
        </w:rPr>
        <w:t>. There are 250</w:t>
      </w:r>
      <w:r w:rsidR="008A2B5B" w:rsidRPr="00B9442D">
        <w:rPr>
          <w:rFonts w:ascii="Times New Roman" w:hAnsi="Times New Roman" w:cs="Times New Roman"/>
          <w:sz w:val="26"/>
          <w:szCs w:val="26"/>
        </w:rPr>
        <w:t xml:space="preserve"> people that are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involved. So the choice is between two plurals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86175F" w:rsidRPr="00B9442D">
        <w:rPr>
          <w:rFonts w:ascii="Times New Roman" w:hAnsi="Times New Roman" w:cs="Times New Roman"/>
          <w:sz w:val="26"/>
          <w:szCs w:val="26"/>
        </w:rPr>
        <w:t xml:space="preserve">but the text says </w:t>
      </w:r>
      <w:r w:rsidR="00F638B5">
        <w:rPr>
          <w:rFonts w:ascii="Times New Roman" w:hAnsi="Times New Roman" w:cs="Times New Roman"/>
          <w:sz w:val="26"/>
          <w:szCs w:val="26"/>
        </w:rPr>
        <w:t>“</w:t>
      </w:r>
      <w:r w:rsidR="0086175F" w:rsidRPr="00B9442D">
        <w:rPr>
          <w:rFonts w:ascii="Times New Roman" w:hAnsi="Times New Roman" w:cs="Times New Roman"/>
          <w:sz w:val="26"/>
          <w:szCs w:val="26"/>
        </w:rPr>
        <w:t>the man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F638B5">
        <w:rPr>
          <w:rFonts w:ascii="Times New Roman" w:hAnsi="Times New Roman" w:cs="Times New Roman"/>
          <w:sz w:val="26"/>
          <w:szCs w:val="26"/>
        </w:rPr>
        <w:t>”</w:t>
      </w:r>
      <w:r w:rsidR="0086175F" w:rsidRPr="00B9442D">
        <w:rPr>
          <w:rFonts w:ascii="Times New Roman" w:hAnsi="Times New Roman" w:cs="Times New Roman"/>
          <w:sz w:val="26"/>
          <w:szCs w:val="26"/>
        </w:rPr>
        <w:t xml:space="preserve"> singular</w:t>
      </w:r>
      <w:r w:rsidR="00F638B5">
        <w:rPr>
          <w:rFonts w:ascii="Times New Roman" w:hAnsi="Times New Roman" w:cs="Times New Roman"/>
          <w:sz w:val="26"/>
          <w:szCs w:val="26"/>
        </w:rPr>
        <w:t>. T</w:t>
      </w:r>
      <w:r w:rsidR="00F70D96" w:rsidRPr="00B9442D">
        <w:rPr>
          <w:rFonts w:ascii="Times New Roman" w:hAnsi="Times New Roman" w:cs="Times New Roman"/>
          <w:sz w:val="26"/>
          <w:szCs w:val="26"/>
        </w:rPr>
        <w:t>he meaning is clear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in the context </w:t>
      </w:r>
      <w:r w:rsidR="00F638B5">
        <w:rPr>
          <w:rFonts w:ascii="Times New Roman" w:hAnsi="Times New Roman" w:cs="Times New Roman"/>
          <w:sz w:val="26"/>
          <w:szCs w:val="26"/>
        </w:rPr>
        <w:t>of N</w:t>
      </w:r>
      <w:r w:rsidR="00774974" w:rsidRPr="00B9442D">
        <w:rPr>
          <w:rFonts w:ascii="Times New Roman" w:hAnsi="Times New Roman" w:cs="Times New Roman"/>
          <w:sz w:val="26"/>
          <w:szCs w:val="26"/>
        </w:rPr>
        <w:t>umbers</w:t>
      </w:r>
      <w:r w:rsidR="002C400B">
        <w:rPr>
          <w:rFonts w:ascii="Times New Roman" w:hAnsi="Times New Roman" w:cs="Times New Roman"/>
          <w:sz w:val="26"/>
          <w:szCs w:val="26"/>
        </w:rPr>
        <w:t>: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F638B5">
        <w:rPr>
          <w:rFonts w:ascii="Times New Roman" w:hAnsi="Times New Roman" w:cs="Times New Roman"/>
          <w:sz w:val="26"/>
          <w:szCs w:val="26"/>
        </w:rPr>
        <w:t>“</w:t>
      </w:r>
      <w:r w:rsidR="00774974" w:rsidRPr="00B9442D">
        <w:rPr>
          <w:rFonts w:ascii="Times New Roman" w:hAnsi="Times New Roman" w:cs="Times New Roman"/>
          <w:sz w:val="26"/>
          <w:szCs w:val="26"/>
        </w:rPr>
        <w:t>the m</w:t>
      </w:r>
      <w:r w:rsidR="002C400B">
        <w:rPr>
          <w:rFonts w:ascii="Times New Roman" w:hAnsi="Times New Roman" w:cs="Times New Roman"/>
          <w:sz w:val="26"/>
          <w:szCs w:val="26"/>
        </w:rPr>
        <w:t>a</w:t>
      </w:r>
      <w:r w:rsidR="00774974" w:rsidRPr="00B9442D">
        <w:rPr>
          <w:rFonts w:ascii="Times New Roman" w:hAnsi="Times New Roman" w:cs="Times New Roman"/>
          <w:sz w:val="26"/>
          <w:szCs w:val="26"/>
        </w:rPr>
        <w:t>n</w:t>
      </w:r>
      <w:r w:rsidR="00F638B5">
        <w:rPr>
          <w:rFonts w:ascii="Times New Roman" w:hAnsi="Times New Roman" w:cs="Times New Roman"/>
          <w:sz w:val="26"/>
          <w:szCs w:val="26"/>
        </w:rPr>
        <w:t>”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2C400B">
        <w:rPr>
          <w:rFonts w:ascii="Times New Roman" w:hAnsi="Times New Roman" w:cs="Times New Roman"/>
          <w:sz w:val="26"/>
          <w:szCs w:val="26"/>
        </w:rPr>
        <w:t xml:space="preserve">is used 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whether there were two men or </w:t>
      </w:r>
      <w:r w:rsidR="00F638B5">
        <w:rPr>
          <w:rFonts w:ascii="Times New Roman" w:hAnsi="Times New Roman" w:cs="Times New Roman"/>
          <w:sz w:val="26"/>
          <w:szCs w:val="26"/>
        </w:rPr>
        <w:t>250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men. </w:t>
      </w:r>
      <w:r w:rsidR="002C400B">
        <w:rPr>
          <w:rFonts w:ascii="Times New Roman" w:hAnsi="Times New Roman" w:cs="Times New Roman"/>
          <w:sz w:val="26"/>
          <w:szCs w:val="26"/>
        </w:rPr>
        <w:t>I</w:t>
      </w:r>
      <w:r w:rsidR="00774974" w:rsidRPr="00B9442D">
        <w:rPr>
          <w:rFonts w:ascii="Times New Roman" w:hAnsi="Times New Roman" w:cs="Times New Roman"/>
          <w:sz w:val="26"/>
          <w:szCs w:val="26"/>
        </w:rPr>
        <w:t>t’s s</w:t>
      </w:r>
      <w:r w:rsidR="002C400B">
        <w:rPr>
          <w:rFonts w:ascii="Times New Roman" w:hAnsi="Times New Roman" w:cs="Times New Roman"/>
          <w:sz w:val="26"/>
          <w:szCs w:val="26"/>
        </w:rPr>
        <w:t>aying,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F638B5">
        <w:rPr>
          <w:rFonts w:ascii="Times New Roman" w:hAnsi="Times New Roman" w:cs="Times New Roman"/>
          <w:sz w:val="26"/>
          <w:szCs w:val="26"/>
        </w:rPr>
        <w:t>“</w:t>
      </w:r>
      <w:r w:rsidR="00774974" w:rsidRPr="00B9442D">
        <w:rPr>
          <w:rFonts w:ascii="Times New Roman" w:hAnsi="Times New Roman" w:cs="Times New Roman"/>
          <w:sz w:val="26"/>
          <w:szCs w:val="26"/>
        </w:rPr>
        <w:t>the man whom the Lord will choose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F638B5">
        <w:rPr>
          <w:rFonts w:ascii="Times New Roman" w:hAnsi="Times New Roman" w:cs="Times New Roman"/>
          <w:sz w:val="26"/>
          <w:szCs w:val="26"/>
        </w:rPr>
        <w:t>”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but not necessarily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or exclusively</w:t>
      </w:r>
      <w:r w:rsidR="002C400B">
        <w:rPr>
          <w:rFonts w:ascii="Times New Roman" w:hAnsi="Times New Roman" w:cs="Times New Roman"/>
          <w:sz w:val="26"/>
          <w:szCs w:val="26"/>
        </w:rPr>
        <w:t>,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only </w:t>
      </w:r>
      <w:r w:rsidR="00774974" w:rsidRPr="002C400B">
        <w:rPr>
          <w:rFonts w:ascii="Times New Roman" w:hAnsi="Times New Roman" w:cs="Times New Roman"/>
          <w:i/>
          <w:iCs/>
          <w:sz w:val="26"/>
          <w:szCs w:val="26"/>
        </w:rPr>
        <w:t>one</w:t>
      </w:r>
      <w:r w:rsidR="00774974" w:rsidRPr="00B9442D">
        <w:rPr>
          <w:rFonts w:ascii="Times New Roman" w:hAnsi="Times New Roman" w:cs="Times New Roman"/>
          <w:sz w:val="26"/>
          <w:szCs w:val="26"/>
        </w:rPr>
        <w:t xml:space="preserve"> man</w:t>
      </w:r>
      <w:r w:rsidR="00496E3D" w:rsidRPr="00B9442D">
        <w:rPr>
          <w:rFonts w:ascii="Times New Roman" w:hAnsi="Times New Roman" w:cs="Times New Roman"/>
          <w:sz w:val="26"/>
          <w:szCs w:val="26"/>
        </w:rPr>
        <w:t xml:space="preserve">. 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It’s either Moses and Aaron or these </w:t>
      </w:r>
      <w:r w:rsidR="00F638B5">
        <w:rPr>
          <w:rFonts w:ascii="Times New Roman" w:hAnsi="Times New Roman" w:cs="Times New Roman"/>
          <w:sz w:val="26"/>
          <w:szCs w:val="26"/>
        </w:rPr>
        <w:t>250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people that were taking the same </w:t>
      </w:r>
      <w:r w:rsidR="00E87BBC">
        <w:rPr>
          <w:rFonts w:ascii="Times New Roman" w:hAnsi="Times New Roman" w:cs="Times New Roman"/>
          <w:sz w:val="26"/>
          <w:szCs w:val="26"/>
        </w:rPr>
        <w:t xml:space="preserve">office 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as Moses and Aaron. It’s going to be </w:t>
      </w:r>
      <w:r w:rsidR="002C400B">
        <w:rPr>
          <w:rFonts w:ascii="Times New Roman" w:hAnsi="Times New Roman" w:cs="Times New Roman"/>
          <w:sz w:val="26"/>
          <w:szCs w:val="26"/>
        </w:rPr>
        <w:t>“</w:t>
      </w:r>
      <w:r w:rsidR="009E7809" w:rsidRPr="00B9442D">
        <w:rPr>
          <w:rFonts w:ascii="Times New Roman" w:hAnsi="Times New Roman" w:cs="Times New Roman"/>
          <w:sz w:val="26"/>
          <w:szCs w:val="26"/>
        </w:rPr>
        <w:t>the man which the Lord shall choose</w:t>
      </w:r>
      <w:r w:rsidR="00E5383D">
        <w:rPr>
          <w:rFonts w:ascii="Times New Roman" w:hAnsi="Times New Roman" w:cs="Times New Roman"/>
          <w:sz w:val="26"/>
          <w:szCs w:val="26"/>
        </w:rPr>
        <w:t>,”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but in the sense of more than one</w:t>
      </w:r>
      <w:r w:rsidR="00E5383D">
        <w:rPr>
          <w:rFonts w:ascii="Times New Roman" w:hAnsi="Times New Roman" w:cs="Times New Roman"/>
          <w:sz w:val="26"/>
          <w:szCs w:val="26"/>
        </w:rPr>
        <w:t>;</w:t>
      </w:r>
      <w:r w:rsidR="00484691">
        <w:rPr>
          <w:rFonts w:ascii="Times New Roman" w:hAnsi="Times New Roman" w:cs="Times New Roman"/>
          <w:sz w:val="26"/>
          <w:szCs w:val="26"/>
        </w:rPr>
        <w:t xml:space="preserve"> </w:t>
      </w:r>
      <w:r w:rsidR="00E5383D">
        <w:rPr>
          <w:rFonts w:ascii="Times New Roman" w:hAnsi="Times New Roman" w:cs="Times New Roman"/>
          <w:sz w:val="26"/>
          <w:szCs w:val="26"/>
        </w:rPr>
        <w:t xml:space="preserve">it’s </w:t>
      </w:r>
      <w:r w:rsidR="00E87BBC">
        <w:rPr>
          <w:rFonts w:ascii="Times New Roman" w:hAnsi="Times New Roman" w:cs="Times New Roman"/>
          <w:sz w:val="26"/>
          <w:szCs w:val="26"/>
        </w:rPr>
        <w:t>t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hose </w:t>
      </w:r>
      <w:r w:rsidR="00E5383D">
        <w:rPr>
          <w:rFonts w:ascii="Times New Roman" w:hAnsi="Times New Roman" w:cs="Times New Roman"/>
          <w:sz w:val="26"/>
          <w:szCs w:val="26"/>
        </w:rPr>
        <w:t xml:space="preserve">who </w:t>
      </w:r>
      <w:r w:rsidR="00E87BBC">
        <w:rPr>
          <w:rFonts w:ascii="Times New Roman" w:hAnsi="Times New Roman" w:cs="Times New Roman"/>
          <w:sz w:val="26"/>
          <w:szCs w:val="26"/>
        </w:rPr>
        <w:t>are to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be the leaders. </w:t>
      </w:r>
      <w:r w:rsidR="00484691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ab/>
      </w:r>
      <w:r w:rsidR="00496E3D" w:rsidRPr="00B9442D">
        <w:rPr>
          <w:rFonts w:ascii="Times New Roman" w:hAnsi="Times New Roman" w:cs="Times New Roman"/>
          <w:sz w:val="26"/>
          <w:szCs w:val="26"/>
        </w:rPr>
        <w:t>Now,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I think exegetically</w:t>
      </w:r>
      <w:r w:rsidR="001612DD" w:rsidRPr="00B9442D">
        <w:rPr>
          <w:rFonts w:ascii="Times New Roman" w:hAnsi="Times New Roman" w:cs="Times New Roman"/>
          <w:sz w:val="26"/>
          <w:szCs w:val="26"/>
        </w:rPr>
        <w:t xml:space="preserve"> you have to conclude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on the basis of the</w:t>
      </w:r>
      <w:r w:rsidR="001612DD" w:rsidRPr="00B9442D">
        <w:rPr>
          <w:rFonts w:ascii="Times New Roman" w:hAnsi="Times New Roman" w:cs="Times New Roman"/>
          <w:sz w:val="26"/>
          <w:szCs w:val="26"/>
        </w:rPr>
        <w:t xml:space="preserve"> expression in the chapter itself</w:t>
      </w:r>
      <w:r w:rsidR="00004476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9E7809" w:rsidRPr="00B9442D">
        <w:rPr>
          <w:rFonts w:ascii="Times New Roman" w:hAnsi="Times New Roman" w:cs="Times New Roman"/>
          <w:sz w:val="26"/>
          <w:szCs w:val="26"/>
        </w:rPr>
        <w:t>that Deuteronomy 12</w:t>
      </w:r>
      <w:r w:rsidR="00004476" w:rsidRPr="00B9442D">
        <w:rPr>
          <w:rFonts w:ascii="Times New Roman" w:hAnsi="Times New Roman" w:cs="Times New Roman"/>
          <w:sz w:val="26"/>
          <w:szCs w:val="26"/>
        </w:rPr>
        <w:t xml:space="preserve"> can mean one place and one tribe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004476" w:rsidRPr="00B9442D">
        <w:rPr>
          <w:rFonts w:ascii="Times New Roman" w:hAnsi="Times New Roman" w:cs="Times New Roman"/>
          <w:sz w:val="26"/>
          <w:szCs w:val="26"/>
        </w:rPr>
        <w:t xml:space="preserve"> or more tha</w:t>
      </w:r>
      <w:r w:rsidR="00484691">
        <w:rPr>
          <w:rFonts w:ascii="Times New Roman" w:hAnsi="Times New Roman" w:cs="Times New Roman"/>
          <w:sz w:val="26"/>
          <w:szCs w:val="26"/>
        </w:rPr>
        <w:t>n</w:t>
      </w:r>
      <w:r w:rsidR="00004476" w:rsidRPr="00B9442D">
        <w:rPr>
          <w:rFonts w:ascii="Times New Roman" w:hAnsi="Times New Roman" w:cs="Times New Roman"/>
          <w:sz w:val="26"/>
          <w:szCs w:val="26"/>
        </w:rPr>
        <w:t xml:space="preserve"> one place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004476" w:rsidRPr="00B9442D">
        <w:rPr>
          <w:rFonts w:ascii="Times New Roman" w:hAnsi="Times New Roman" w:cs="Times New Roman"/>
          <w:sz w:val="26"/>
          <w:szCs w:val="26"/>
        </w:rPr>
        <w:t xml:space="preserve"> b</w:t>
      </w:r>
      <w:r w:rsidR="009E7809" w:rsidRPr="00B9442D">
        <w:rPr>
          <w:rFonts w:ascii="Times New Roman" w:hAnsi="Times New Roman" w:cs="Times New Roman"/>
          <w:sz w:val="26"/>
          <w:szCs w:val="26"/>
        </w:rPr>
        <w:t>ut the Lord will</w:t>
      </w:r>
      <w:r w:rsidR="00004476" w:rsidRPr="00B9442D">
        <w:rPr>
          <w:rFonts w:ascii="Times New Roman" w:hAnsi="Times New Roman" w:cs="Times New Roman"/>
          <w:sz w:val="26"/>
          <w:szCs w:val="26"/>
        </w:rPr>
        <w:t xml:space="preserve"> indicate </w:t>
      </w:r>
      <w:r w:rsidR="00E5383D">
        <w:rPr>
          <w:rFonts w:ascii="Times New Roman" w:hAnsi="Times New Roman" w:cs="Times New Roman"/>
          <w:sz w:val="26"/>
          <w:szCs w:val="26"/>
        </w:rPr>
        <w:t xml:space="preserve">this </w:t>
      </w:r>
      <w:r w:rsidR="00484691">
        <w:rPr>
          <w:rFonts w:ascii="Times New Roman" w:hAnsi="Times New Roman" w:cs="Times New Roman"/>
          <w:sz w:val="26"/>
          <w:szCs w:val="26"/>
        </w:rPr>
        <w:t xml:space="preserve">in </w:t>
      </w:r>
      <w:r w:rsidR="00004476" w:rsidRPr="00B9442D">
        <w:rPr>
          <w:rFonts w:ascii="Times New Roman" w:hAnsi="Times New Roman" w:cs="Times New Roman"/>
          <w:sz w:val="26"/>
          <w:szCs w:val="26"/>
        </w:rPr>
        <w:t>any of the tribes. It can mean either on the basis o</w:t>
      </w:r>
      <w:r w:rsidR="00E5383D">
        <w:rPr>
          <w:rFonts w:ascii="Times New Roman" w:hAnsi="Times New Roman" w:cs="Times New Roman"/>
          <w:sz w:val="26"/>
          <w:szCs w:val="26"/>
        </w:rPr>
        <w:t>f</w:t>
      </w:r>
      <w:r w:rsidR="00004476" w:rsidRPr="00B9442D">
        <w:rPr>
          <w:rFonts w:ascii="Times New Roman" w:hAnsi="Times New Roman" w:cs="Times New Roman"/>
          <w:sz w:val="26"/>
          <w:szCs w:val="26"/>
        </w:rPr>
        <w:t xml:space="preserve"> language use</w:t>
      </w:r>
      <w:r w:rsidR="00DE7751" w:rsidRPr="00B9442D">
        <w:rPr>
          <w:rFonts w:ascii="Times New Roman" w:hAnsi="Times New Roman" w:cs="Times New Roman"/>
          <w:sz w:val="26"/>
          <w:szCs w:val="26"/>
        </w:rPr>
        <w:t>. So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that really</w:t>
      </w:r>
      <w:r w:rsidR="00DE7751" w:rsidRPr="00B9442D">
        <w:rPr>
          <w:rFonts w:ascii="Times New Roman" w:hAnsi="Times New Roman" w:cs="Times New Roman"/>
          <w:sz w:val="26"/>
          <w:szCs w:val="26"/>
        </w:rPr>
        <w:t xml:space="preserve"> Deuteronomy </w:t>
      </w:r>
      <w:r w:rsidR="009E7809" w:rsidRPr="00B9442D">
        <w:rPr>
          <w:rFonts w:ascii="Times New Roman" w:hAnsi="Times New Roman" w:cs="Times New Roman"/>
          <w:sz w:val="26"/>
          <w:szCs w:val="26"/>
        </w:rPr>
        <w:t>12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says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the same thing as Exodus </w:t>
      </w:r>
      <w:r w:rsidR="009E7809" w:rsidRPr="00B9442D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484691">
        <w:rPr>
          <w:rFonts w:ascii="Times New Roman" w:hAnsi="Times New Roman" w:cs="Times New Roman"/>
          <w:sz w:val="26"/>
          <w:szCs w:val="26"/>
        </w:rPr>
        <w:t>:</w:t>
      </w:r>
      <w:r w:rsidR="00DE7751" w:rsidRPr="00B9442D">
        <w:rPr>
          <w:rFonts w:ascii="Times New Roman" w:hAnsi="Times New Roman" w:cs="Times New Roman"/>
          <w:sz w:val="26"/>
          <w:szCs w:val="26"/>
        </w:rPr>
        <w:t>24</w:t>
      </w:r>
      <w:r w:rsidR="00E5383D">
        <w:rPr>
          <w:rFonts w:ascii="Times New Roman" w:hAnsi="Times New Roman" w:cs="Times New Roman"/>
          <w:sz w:val="26"/>
          <w:szCs w:val="26"/>
        </w:rPr>
        <w:t>: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>“I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n all the places where I record my name I will come unto </w:t>
      </w:r>
      <w:r w:rsidR="00E87BBC">
        <w:rPr>
          <w:rFonts w:ascii="Times New Roman" w:hAnsi="Times New Roman" w:cs="Times New Roman"/>
          <w:sz w:val="26"/>
          <w:szCs w:val="26"/>
        </w:rPr>
        <w:t>you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and I will bless </w:t>
      </w:r>
      <w:r w:rsidR="00484691">
        <w:rPr>
          <w:rFonts w:ascii="Times New Roman" w:hAnsi="Times New Roman" w:cs="Times New Roman"/>
          <w:sz w:val="26"/>
          <w:szCs w:val="26"/>
        </w:rPr>
        <w:t>you</w:t>
      </w:r>
      <w:r w:rsidR="001F05F9" w:rsidRPr="00B9442D">
        <w:rPr>
          <w:rFonts w:ascii="Times New Roman" w:hAnsi="Times New Roman" w:cs="Times New Roman"/>
          <w:sz w:val="26"/>
          <w:szCs w:val="26"/>
        </w:rPr>
        <w:t>.</w:t>
      </w:r>
      <w:r w:rsidR="00484691">
        <w:rPr>
          <w:rFonts w:ascii="Times New Roman" w:hAnsi="Times New Roman" w:cs="Times New Roman"/>
          <w:sz w:val="26"/>
          <w:szCs w:val="26"/>
        </w:rPr>
        <w:t>”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The question is </w:t>
      </w:r>
      <w:r w:rsidR="009E7809" w:rsidRPr="00B9442D">
        <w:rPr>
          <w:rFonts w:ascii="Times New Roman" w:hAnsi="Times New Roman" w:cs="Times New Roman"/>
          <w:sz w:val="26"/>
          <w:szCs w:val="26"/>
        </w:rPr>
        <w:t>not one or more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9E7809" w:rsidRPr="00B9442D">
        <w:rPr>
          <w:rFonts w:ascii="Times New Roman" w:hAnsi="Times New Roman" w:cs="Times New Roman"/>
          <w:sz w:val="26"/>
          <w:szCs w:val="26"/>
        </w:rPr>
        <w:t xml:space="preserve"> but </w:t>
      </w:r>
      <w:r w:rsidR="00E5383D">
        <w:rPr>
          <w:rFonts w:ascii="Times New Roman" w:hAnsi="Times New Roman" w:cs="Times New Roman"/>
          <w:sz w:val="26"/>
          <w:szCs w:val="26"/>
        </w:rPr>
        <w:t xml:space="preserve">whether </w:t>
      </w:r>
      <w:r w:rsidR="008F3B0B" w:rsidRPr="00B9442D">
        <w:rPr>
          <w:rFonts w:ascii="Times New Roman" w:hAnsi="Times New Roman" w:cs="Times New Roman"/>
          <w:sz w:val="26"/>
          <w:szCs w:val="26"/>
        </w:rPr>
        <w:t>the place</w:t>
      </w:r>
      <w:r w:rsidR="00C36CDF">
        <w:rPr>
          <w:rFonts w:ascii="Times New Roman" w:hAnsi="Times New Roman" w:cs="Times New Roman"/>
          <w:sz w:val="26"/>
          <w:szCs w:val="26"/>
        </w:rPr>
        <w:t>s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36CDF">
        <w:rPr>
          <w:rFonts w:ascii="Times New Roman" w:hAnsi="Times New Roman" w:cs="Times New Roman"/>
          <w:sz w:val="26"/>
          <w:szCs w:val="26"/>
        </w:rPr>
        <w:t>are</w:t>
      </w:r>
      <w:r w:rsidR="00484691">
        <w:rPr>
          <w:rFonts w:ascii="Times New Roman" w:hAnsi="Times New Roman" w:cs="Times New Roman"/>
          <w:sz w:val="26"/>
          <w:szCs w:val="26"/>
        </w:rPr>
        <w:t xml:space="preserve"> </w:t>
      </w:r>
      <w:r w:rsidR="008F3B0B" w:rsidRPr="00B9442D">
        <w:rPr>
          <w:rFonts w:ascii="Times New Roman" w:hAnsi="Times New Roman" w:cs="Times New Roman"/>
          <w:sz w:val="26"/>
          <w:szCs w:val="26"/>
        </w:rPr>
        <w:t>selected by human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F05F9" w:rsidRPr="00B9442D">
        <w:rPr>
          <w:rFonts w:ascii="Times New Roman" w:hAnsi="Times New Roman" w:cs="Times New Roman"/>
          <w:sz w:val="26"/>
          <w:szCs w:val="26"/>
        </w:rPr>
        <w:t>arbitrary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F05F9" w:rsidRPr="00B9442D">
        <w:rPr>
          <w:rFonts w:ascii="Times New Roman" w:hAnsi="Times New Roman" w:cs="Times New Roman"/>
          <w:sz w:val="26"/>
          <w:szCs w:val="26"/>
        </w:rPr>
        <w:t>means or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by divine choice</w:t>
      </w:r>
      <w:r w:rsidR="00E5383D">
        <w:rPr>
          <w:rFonts w:ascii="Times New Roman" w:hAnsi="Times New Roman" w:cs="Times New Roman"/>
          <w:sz w:val="26"/>
          <w:szCs w:val="26"/>
        </w:rPr>
        <w:t>. It’s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36CDF">
        <w:rPr>
          <w:rFonts w:ascii="Times New Roman" w:hAnsi="Times New Roman" w:cs="Times New Roman"/>
          <w:sz w:val="26"/>
          <w:szCs w:val="26"/>
        </w:rPr>
        <w:t>n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ot 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in </w:t>
      </w:r>
      <w:r w:rsidR="00C36CDF">
        <w:rPr>
          <w:rFonts w:ascii="Times New Roman" w:hAnsi="Times New Roman" w:cs="Times New Roman"/>
          <w:sz w:val="26"/>
          <w:szCs w:val="26"/>
        </w:rPr>
        <w:t>“</w:t>
      </w:r>
      <w:r w:rsidR="00540A8D" w:rsidRPr="00B9442D">
        <w:rPr>
          <w:rFonts w:ascii="Times New Roman" w:hAnsi="Times New Roman" w:cs="Times New Roman"/>
          <w:sz w:val="26"/>
          <w:szCs w:val="26"/>
        </w:rPr>
        <w:t>every pl</w:t>
      </w:r>
      <w:r w:rsidR="00A33036" w:rsidRPr="00B9442D">
        <w:rPr>
          <w:rFonts w:ascii="Times New Roman" w:hAnsi="Times New Roman" w:cs="Times New Roman"/>
          <w:sz w:val="26"/>
          <w:szCs w:val="26"/>
        </w:rPr>
        <w:t>ace</w:t>
      </w:r>
      <w:r w:rsidR="00C36CDF">
        <w:rPr>
          <w:rFonts w:ascii="Times New Roman" w:hAnsi="Times New Roman" w:cs="Times New Roman"/>
          <w:sz w:val="26"/>
          <w:szCs w:val="26"/>
        </w:rPr>
        <w:t>”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5383D">
        <w:rPr>
          <w:rFonts w:ascii="Times New Roman" w:hAnsi="Times New Roman" w:cs="Times New Roman"/>
          <w:sz w:val="26"/>
          <w:szCs w:val="26"/>
        </w:rPr>
        <w:t xml:space="preserve">chosen by humans, 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but </w:t>
      </w:r>
      <w:r w:rsidR="00C36CDF">
        <w:rPr>
          <w:rFonts w:ascii="Times New Roman" w:hAnsi="Times New Roman" w:cs="Times New Roman"/>
          <w:sz w:val="26"/>
          <w:szCs w:val="26"/>
        </w:rPr>
        <w:t xml:space="preserve">“in </w:t>
      </w:r>
      <w:r w:rsidR="00A33036" w:rsidRPr="00B9442D">
        <w:rPr>
          <w:rFonts w:ascii="Times New Roman" w:hAnsi="Times New Roman" w:cs="Times New Roman"/>
          <w:sz w:val="26"/>
          <w:szCs w:val="26"/>
        </w:rPr>
        <w:t>the place</w:t>
      </w:r>
      <w:r w:rsidR="00C36CDF">
        <w:rPr>
          <w:rFonts w:ascii="Times New Roman" w:hAnsi="Times New Roman" w:cs="Times New Roman"/>
          <w:sz w:val="26"/>
          <w:szCs w:val="26"/>
        </w:rPr>
        <w:t>”</w:t>
      </w:r>
      <w:r w:rsidR="00E5383D">
        <w:rPr>
          <w:rFonts w:ascii="Times New Roman" w:hAnsi="Times New Roman" w:cs="Times New Roman"/>
          <w:sz w:val="26"/>
          <w:szCs w:val="26"/>
        </w:rPr>
        <w:t xml:space="preserve"> chosen by God.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 xml:space="preserve">Is that multiplicity </w:t>
      </w:r>
      <w:r w:rsidR="001F05F9" w:rsidRPr="00B9442D">
        <w:rPr>
          <w:rFonts w:ascii="Times New Roman" w:hAnsi="Times New Roman" w:cs="Times New Roman"/>
          <w:sz w:val="26"/>
          <w:szCs w:val="26"/>
        </w:rPr>
        <w:t>v</w:t>
      </w:r>
      <w:r w:rsidR="00484691">
        <w:rPr>
          <w:rFonts w:ascii="Times New Roman" w:hAnsi="Times New Roman" w:cs="Times New Roman"/>
          <w:sz w:val="26"/>
          <w:szCs w:val="26"/>
        </w:rPr>
        <w:t>ersus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centralization – no</w:t>
      </w:r>
      <w:r w:rsidR="00E5383D">
        <w:rPr>
          <w:rFonts w:ascii="Times New Roman" w:hAnsi="Times New Roman" w:cs="Times New Roman"/>
          <w:sz w:val="26"/>
          <w:szCs w:val="26"/>
        </w:rPr>
        <w:t>.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The question is not one or more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but </w:t>
      </w:r>
      <w:r w:rsidR="00E5383D">
        <w:rPr>
          <w:rFonts w:ascii="Times New Roman" w:hAnsi="Times New Roman" w:cs="Times New Roman"/>
          <w:sz w:val="26"/>
          <w:szCs w:val="26"/>
        </w:rPr>
        <w:t>how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are the places selected</w:t>
      </w:r>
      <w:r w:rsidR="00E5383D">
        <w:rPr>
          <w:rFonts w:ascii="Times New Roman" w:hAnsi="Times New Roman" w:cs="Times New Roman"/>
          <w:sz w:val="26"/>
          <w:szCs w:val="26"/>
        </w:rPr>
        <w:t>: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by human </w:t>
      </w:r>
      <w:r w:rsidR="001F05F9" w:rsidRPr="00B9442D">
        <w:rPr>
          <w:rFonts w:ascii="Times New Roman" w:hAnsi="Times New Roman" w:cs="Times New Roman"/>
          <w:sz w:val="26"/>
          <w:szCs w:val="26"/>
        </w:rPr>
        <w:t>arbitrary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means </w:t>
      </w:r>
      <w:r w:rsidR="00E5383D">
        <w:rPr>
          <w:rFonts w:ascii="Times New Roman" w:hAnsi="Times New Roman" w:cs="Times New Roman"/>
          <w:sz w:val="26"/>
          <w:szCs w:val="26"/>
        </w:rPr>
        <w:t xml:space="preserve">or </w:t>
      </w:r>
      <w:r w:rsidR="00A33036" w:rsidRPr="00B9442D">
        <w:rPr>
          <w:rFonts w:ascii="Times New Roman" w:hAnsi="Times New Roman" w:cs="Times New Roman"/>
          <w:sz w:val="26"/>
          <w:szCs w:val="26"/>
        </w:rPr>
        <w:t>by divine</w:t>
      </w:r>
      <w:r w:rsidR="008F3B0B" w:rsidRPr="00B9442D">
        <w:rPr>
          <w:rFonts w:ascii="Times New Roman" w:hAnsi="Times New Roman" w:cs="Times New Roman"/>
          <w:sz w:val="26"/>
          <w:szCs w:val="26"/>
        </w:rPr>
        <w:t xml:space="preserve"> choice</w:t>
      </w:r>
      <w:r w:rsidR="00E5383D">
        <w:rPr>
          <w:rFonts w:ascii="Times New Roman" w:hAnsi="Times New Roman" w:cs="Times New Roman"/>
          <w:sz w:val="26"/>
          <w:szCs w:val="26"/>
        </w:rPr>
        <w:t>? T</w:t>
      </w:r>
      <w:r w:rsidR="00540A8D" w:rsidRPr="00B9442D">
        <w:rPr>
          <w:rFonts w:ascii="Times New Roman" w:hAnsi="Times New Roman" w:cs="Times New Roman"/>
          <w:sz w:val="26"/>
          <w:szCs w:val="26"/>
        </w:rPr>
        <w:t>hat’s the point</w:t>
      </w:r>
      <w:r w:rsidR="008F3B0B" w:rsidRPr="00B9442D">
        <w:rPr>
          <w:rFonts w:ascii="Times New Roman" w:hAnsi="Times New Roman" w:cs="Times New Roman"/>
          <w:sz w:val="26"/>
          <w:szCs w:val="26"/>
        </w:rPr>
        <w:t>.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 And at that point there is consistency between Exodus and Deuteronomy.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  <w:t>5.  Deuteronomy 12:18 Whole Family Journey</w:t>
      </w:r>
      <w:r w:rsidR="00484691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ab/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He also says that 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the </w:t>
      </w:r>
      <w:r w:rsidR="00484691">
        <w:rPr>
          <w:rFonts w:ascii="Times New Roman" w:hAnsi="Times New Roman" w:cs="Times New Roman"/>
          <w:sz w:val="26"/>
          <w:szCs w:val="26"/>
        </w:rPr>
        <w:t>motifs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A33036" w:rsidRPr="00B9442D">
        <w:rPr>
          <w:rFonts w:ascii="Times New Roman" w:hAnsi="Times New Roman" w:cs="Times New Roman"/>
          <w:sz w:val="26"/>
          <w:szCs w:val="26"/>
        </w:rPr>
        <w:t>behind the specifications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 of Exo</w:t>
      </w:r>
      <w:r w:rsidR="00540A8D" w:rsidRPr="00B9442D">
        <w:rPr>
          <w:rFonts w:ascii="Times New Roman" w:hAnsi="Times New Roman" w:cs="Times New Roman"/>
          <w:sz w:val="26"/>
          <w:szCs w:val="26"/>
        </w:rPr>
        <w:t>dus 20 ha</w:t>
      </w:r>
      <w:r w:rsidR="00484691">
        <w:rPr>
          <w:rFonts w:ascii="Times New Roman" w:hAnsi="Times New Roman" w:cs="Times New Roman"/>
          <w:sz w:val="26"/>
          <w:szCs w:val="26"/>
        </w:rPr>
        <w:t>ve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been shown to have been </w:t>
      </w:r>
      <w:r w:rsidR="00C36CDF">
        <w:rPr>
          <w:rFonts w:ascii="Times New Roman" w:hAnsi="Times New Roman" w:cs="Times New Roman"/>
          <w:sz w:val="26"/>
          <w:szCs w:val="26"/>
        </w:rPr>
        <w:t xml:space="preserve">a </w:t>
      </w:r>
      <w:r w:rsidR="00540A8D" w:rsidRPr="00B9442D">
        <w:rPr>
          <w:rFonts w:ascii="Times New Roman" w:hAnsi="Times New Roman" w:cs="Times New Roman"/>
          <w:sz w:val="26"/>
          <w:szCs w:val="26"/>
        </w:rPr>
        <w:t>prohibition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 against precisely the kind of al</w:t>
      </w:r>
      <w:r w:rsidR="00540A8D" w:rsidRPr="00B9442D">
        <w:rPr>
          <w:rFonts w:ascii="Times New Roman" w:hAnsi="Times New Roman" w:cs="Times New Roman"/>
          <w:sz w:val="26"/>
          <w:szCs w:val="26"/>
        </w:rPr>
        <w:t>t</w:t>
      </w:r>
      <w:r w:rsidR="00484691">
        <w:rPr>
          <w:rFonts w:ascii="Times New Roman" w:hAnsi="Times New Roman" w:cs="Times New Roman"/>
          <w:sz w:val="26"/>
          <w:szCs w:val="26"/>
        </w:rPr>
        <w:t>a</w:t>
      </w:r>
      <w:r w:rsidR="00540A8D" w:rsidRPr="00B9442D">
        <w:rPr>
          <w:rFonts w:ascii="Times New Roman" w:hAnsi="Times New Roman" w:cs="Times New Roman"/>
          <w:sz w:val="26"/>
          <w:szCs w:val="26"/>
        </w:rPr>
        <w:t>r that existed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 in Canaan</w:t>
      </w:r>
      <w:r w:rsidR="00484691">
        <w:rPr>
          <w:rFonts w:ascii="Times New Roman" w:hAnsi="Times New Roman" w:cs="Times New Roman"/>
          <w:sz w:val="26"/>
          <w:szCs w:val="26"/>
        </w:rPr>
        <w:t xml:space="preserve">. </w:t>
      </w:r>
      <w:r w:rsidR="00540A8D" w:rsidRPr="00B9442D">
        <w:rPr>
          <w:rFonts w:ascii="Times New Roman" w:hAnsi="Times New Roman" w:cs="Times New Roman"/>
          <w:sz w:val="26"/>
          <w:szCs w:val="26"/>
        </w:rPr>
        <w:t>Israel was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 to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have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 a 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distinctively </w:t>
      </w:r>
      <w:r w:rsidR="00662564" w:rsidRPr="00B9442D">
        <w:rPr>
          <w:rFonts w:ascii="Times New Roman" w:hAnsi="Times New Roman" w:cs="Times New Roman"/>
          <w:sz w:val="26"/>
          <w:szCs w:val="26"/>
        </w:rPr>
        <w:t>different kind of alt</w:t>
      </w:r>
      <w:r w:rsidR="00484691">
        <w:rPr>
          <w:rFonts w:ascii="Times New Roman" w:hAnsi="Times New Roman" w:cs="Times New Roman"/>
          <w:sz w:val="26"/>
          <w:szCs w:val="26"/>
        </w:rPr>
        <w:t>a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r than the </w:t>
      </w:r>
      <w:r w:rsidR="00540A8D" w:rsidRPr="00B9442D">
        <w:rPr>
          <w:rFonts w:ascii="Times New Roman" w:hAnsi="Times New Roman" w:cs="Times New Roman"/>
          <w:sz w:val="26"/>
          <w:szCs w:val="26"/>
        </w:rPr>
        <w:t>he</w:t>
      </w:r>
      <w:r w:rsidR="00484691">
        <w:rPr>
          <w:rFonts w:ascii="Times New Roman" w:hAnsi="Times New Roman" w:cs="Times New Roman"/>
          <w:sz w:val="26"/>
          <w:szCs w:val="26"/>
        </w:rPr>
        <w:t>athen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662564" w:rsidRPr="00B9442D">
        <w:rPr>
          <w:rFonts w:ascii="Times New Roman" w:hAnsi="Times New Roman" w:cs="Times New Roman"/>
          <w:sz w:val="26"/>
          <w:szCs w:val="26"/>
        </w:rPr>
        <w:t>Canaanites did</w:t>
      </w:r>
      <w:r w:rsidR="00C36CDF">
        <w:rPr>
          <w:rFonts w:ascii="Times New Roman" w:hAnsi="Times New Roman" w:cs="Times New Roman"/>
          <w:sz w:val="26"/>
          <w:szCs w:val="26"/>
        </w:rPr>
        <w:t>. T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heir worship was not to </w:t>
      </w:r>
      <w:r w:rsidR="001C6A68" w:rsidRPr="00B9442D">
        <w:rPr>
          <w:rFonts w:ascii="Times New Roman" w:hAnsi="Times New Roman" w:cs="Times New Roman"/>
          <w:sz w:val="26"/>
          <w:szCs w:val="26"/>
        </w:rPr>
        <w:t>be confused with the Canaanite worship</w:t>
      </w:r>
      <w:r w:rsidR="00484691">
        <w:rPr>
          <w:rFonts w:ascii="Times New Roman" w:hAnsi="Times New Roman" w:cs="Times New Roman"/>
          <w:sz w:val="26"/>
          <w:szCs w:val="26"/>
        </w:rPr>
        <w:t>. B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ut the </w:t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point </w:t>
      </w:r>
      <w:r w:rsidR="00540A8D" w:rsidRPr="00B9442D">
        <w:rPr>
          <w:rFonts w:ascii="Times New Roman" w:hAnsi="Times New Roman" w:cs="Times New Roman"/>
          <w:sz w:val="26"/>
          <w:szCs w:val="26"/>
        </w:rPr>
        <w:t>of</w:t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 the </w:t>
      </w:r>
      <w:r w:rsidR="001C6A68" w:rsidRPr="00B9442D">
        <w:rPr>
          <w:rFonts w:ascii="Times New Roman" w:hAnsi="Times New Roman" w:cs="Times New Roman"/>
          <w:sz w:val="26"/>
          <w:szCs w:val="26"/>
        </w:rPr>
        <w:t>regulation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in Exodus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BA2509" w:rsidRPr="00B9442D">
        <w:rPr>
          <w:rFonts w:ascii="Times New Roman" w:hAnsi="Times New Roman" w:cs="Times New Roman"/>
          <w:sz w:val="26"/>
          <w:szCs w:val="26"/>
        </w:rPr>
        <w:t>is to make very clear that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36CDF">
        <w:rPr>
          <w:rFonts w:ascii="Times New Roman" w:hAnsi="Times New Roman" w:cs="Times New Roman"/>
          <w:sz w:val="26"/>
          <w:szCs w:val="26"/>
        </w:rPr>
        <w:t xml:space="preserve">the </w:t>
      </w:r>
      <w:r w:rsidR="00540A8D" w:rsidRPr="00B9442D">
        <w:rPr>
          <w:rFonts w:ascii="Times New Roman" w:hAnsi="Times New Roman" w:cs="Times New Roman"/>
          <w:sz w:val="26"/>
          <w:szCs w:val="26"/>
        </w:rPr>
        <w:t>Israel</w:t>
      </w:r>
      <w:r w:rsidR="00C36CDF">
        <w:rPr>
          <w:rFonts w:ascii="Times New Roman" w:hAnsi="Times New Roman" w:cs="Times New Roman"/>
          <w:sz w:val="26"/>
          <w:szCs w:val="26"/>
        </w:rPr>
        <w:t>ite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alt</w:t>
      </w:r>
      <w:r w:rsidR="00484691">
        <w:rPr>
          <w:rFonts w:ascii="Times New Roman" w:hAnsi="Times New Roman" w:cs="Times New Roman"/>
          <w:sz w:val="26"/>
          <w:szCs w:val="26"/>
        </w:rPr>
        <w:t>a</w:t>
      </w:r>
      <w:r w:rsidR="00540A8D" w:rsidRPr="00B9442D">
        <w:rPr>
          <w:rFonts w:ascii="Times New Roman" w:hAnsi="Times New Roman" w:cs="Times New Roman"/>
          <w:sz w:val="26"/>
          <w:szCs w:val="26"/>
        </w:rPr>
        <w:t>r</w:t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 is to be </w:t>
      </w:r>
      <w:r w:rsidR="00540A8D" w:rsidRPr="00B9442D">
        <w:rPr>
          <w:rFonts w:ascii="Times New Roman" w:hAnsi="Times New Roman" w:cs="Times New Roman"/>
          <w:sz w:val="26"/>
          <w:szCs w:val="26"/>
        </w:rPr>
        <w:t>distinctively</w:t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 different from the Canaanites</w:t>
      </w:r>
      <w:r w:rsidR="00484691">
        <w:rPr>
          <w:rFonts w:ascii="Times New Roman" w:hAnsi="Times New Roman" w:cs="Times New Roman"/>
          <w:sz w:val="26"/>
          <w:szCs w:val="26"/>
        </w:rPr>
        <w:t xml:space="preserve"> altars</w:t>
      </w:r>
      <w:r w:rsidR="00BA2509" w:rsidRPr="00B9442D">
        <w:rPr>
          <w:rFonts w:ascii="Times New Roman" w:hAnsi="Times New Roman" w:cs="Times New Roman"/>
          <w:sz w:val="26"/>
          <w:szCs w:val="26"/>
        </w:rPr>
        <w:t>.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ab/>
        <w:t>H</w:t>
      </w:r>
      <w:r w:rsidR="001F05F9" w:rsidRPr="00B9442D">
        <w:rPr>
          <w:rFonts w:ascii="Times New Roman" w:hAnsi="Times New Roman" w:cs="Times New Roman"/>
          <w:sz w:val="26"/>
          <w:szCs w:val="26"/>
        </w:rPr>
        <w:t>e also says that Deuteronomy 12 says th</w:t>
      </w:r>
      <w:r w:rsidR="00E5383D">
        <w:rPr>
          <w:rFonts w:ascii="Times New Roman" w:hAnsi="Times New Roman" w:cs="Times New Roman"/>
          <w:sz w:val="26"/>
          <w:szCs w:val="26"/>
        </w:rPr>
        <w:t>at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a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ll the offerings are to be brought </w:t>
      </w:r>
      <w:r w:rsidR="001F05F9" w:rsidRPr="00B9442D">
        <w:rPr>
          <w:rFonts w:ascii="Times New Roman" w:hAnsi="Times New Roman" w:cs="Times New Roman"/>
          <w:sz w:val="26"/>
          <w:szCs w:val="26"/>
        </w:rPr>
        <w:t>t</w:t>
      </w:r>
      <w:r w:rsidR="00540A8D" w:rsidRPr="00B9442D">
        <w:rPr>
          <w:rFonts w:ascii="Times New Roman" w:hAnsi="Times New Roman" w:cs="Times New Roman"/>
          <w:sz w:val="26"/>
          <w:szCs w:val="26"/>
        </w:rPr>
        <w:t>o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the chosen place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or places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C36CDF">
        <w:rPr>
          <w:rFonts w:ascii="Times New Roman" w:hAnsi="Times New Roman" w:cs="Times New Roman"/>
          <w:sz w:val="26"/>
          <w:szCs w:val="26"/>
        </w:rPr>
        <w:t xml:space="preserve"> a</w:t>
      </w:r>
      <w:r w:rsidR="00540A8D" w:rsidRPr="00B9442D">
        <w:rPr>
          <w:rFonts w:ascii="Times New Roman" w:hAnsi="Times New Roman" w:cs="Times New Roman"/>
          <w:sz w:val="26"/>
          <w:szCs w:val="26"/>
        </w:rPr>
        <w:t xml:space="preserve">nd then it is added 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the </w:t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whole 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family will appear with servants and Levites. </w:t>
      </w:r>
      <w:r w:rsidR="00C36CDF">
        <w:rPr>
          <w:rFonts w:ascii="Times New Roman" w:hAnsi="Times New Roman" w:cs="Times New Roman"/>
          <w:sz w:val="26"/>
          <w:szCs w:val="26"/>
        </w:rPr>
        <w:t xml:space="preserve"> Ve</w:t>
      </w:r>
      <w:r w:rsidR="001C6A68" w:rsidRPr="00B9442D">
        <w:rPr>
          <w:rFonts w:ascii="Times New Roman" w:hAnsi="Times New Roman" w:cs="Times New Roman"/>
          <w:sz w:val="26"/>
          <w:szCs w:val="26"/>
        </w:rPr>
        <w:t>rse 18 of Deuter</w:t>
      </w:r>
      <w:r w:rsidR="00540A8D" w:rsidRPr="00B9442D">
        <w:rPr>
          <w:rFonts w:ascii="Times New Roman" w:hAnsi="Times New Roman" w:cs="Times New Roman"/>
          <w:sz w:val="26"/>
          <w:szCs w:val="26"/>
        </w:rPr>
        <w:t>onomy 12</w:t>
      </w:r>
      <w:r w:rsidR="00484691">
        <w:rPr>
          <w:rFonts w:ascii="Times New Roman" w:hAnsi="Times New Roman" w:cs="Times New Roman"/>
          <w:sz w:val="26"/>
          <w:szCs w:val="26"/>
        </w:rPr>
        <w:t>:</w:t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>“N</w:t>
      </w:r>
      <w:r w:rsidR="00BA2509" w:rsidRPr="00B9442D">
        <w:rPr>
          <w:rFonts w:ascii="Times New Roman" w:hAnsi="Times New Roman" w:cs="Times New Roman"/>
          <w:sz w:val="26"/>
          <w:szCs w:val="26"/>
        </w:rPr>
        <w:t>ow must ye stand be</w:t>
      </w:r>
      <w:r w:rsidR="001C6A68" w:rsidRPr="00B9442D">
        <w:rPr>
          <w:rFonts w:ascii="Times New Roman" w:hAnsi="Times New Roman" w:cs="Times New Roman"/>
          <w:sz w:val="26"/>
          <w:szCs w:val="26"/>
        </w:rPr>
        <w:t>for</w:t>
      </w:r>
      <w:r w:rsidR="00BA2509" w:rsidRPr="00B9442D">
        <w:rPr>
          <w:rFonts w:ascii="Times New Roman" w:hAnsi="Times New Roman" w:cs="Times New Roman"/>
          <w:sz w:val="26"/>
          <w:szCs w:val="26"/>
        </w:rPr>
        <w:t>e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 the Lord thy God in the place the Lord thy God should </w:t>
      </w:r>
      <w:r w:rsidR="001F05F9" w:rsidRPr="00B9442D">
        <w:rPr>
          <w:rFonts w:ascii="Times New Roman" w:hAnsi="Times New Roman" w:cs="Times New Roman"/>
          <w:sz w:val="26"/>
          <w:szCs w:val="26"/>
        </w:rPr>
        <w:t>choose</w:t>
      </w:r>
      <w:r w:rsidR="00E5383D">
        <w:rPr>
          <w:rFonts w:ascii="Times New Roman" w:hAnsi="Times New Roman" w:cs="Times New Roman"/>
          <w:sz w:val="26"/>
          <w:szCs w:val="26"/>
        </w:rPr>
        <w:t>:</w:t>
      </w:r>
      <w:r w:rsidR="001F05F9" w:rsidRPr="00B9442D">
        <w:rPr>
          <w:rFonts w:ascii="Times New Roman" w:hAnsi="Times New Roman" w:cs="Times New Roman"/>
          <w:sz w:val="26"/>
          <w:szCs w:val="26"/>
        </w:rPr>
        <w:t xml:space="preserve"> thou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 thy son, thy daughter, thy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 manservant</w:t>
      </w:r>
      <w:r w:rsidR="00BA2509" w:rsidRPr="00B9442D">
        <w:rPr>
          <w:rFonts w:ascii="Times New Roman" w:hAnsi="Times New Roman" w:cs="Times New Roman"/>
          <w:sz w:val="26"/>
          <w:szCs w:val="26"/>
        </w:rPr>
        <w:t>, thy maidservant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 and the Levite </w:t>
      </w:r>
      <w:r w:rsidR="00484691">
        <w:rPr>
          <w:rFonts w:ascii="Times New Roman" w:hAnsi="Times New Roman" w:cs="Times New Roman"/>
          <w:sz w:val="26"/>
          <w:szCs w:val="26"/>
        </w:rPr>
        <w:t xml:space="preserve">who </w:t>
      </w:r>
      <w:r w:rsidR="001C6A68" w:rsidRPr="00B9442D">
        <w:rPr>
          <w:rFonts w:ascii="Times New Roman" w:hAnsi="Times New Roman" w:cs="Times New Roman"/>
          <w:sz w:val="26"/>
          <w:szCs w:val="26"/>
        </w:rPr>
        <w:t>was within thy gate.</w:t>
      </w:r>
      <w:r w:rsidR="00484691">
        <w:rPr>
          <w:rFonts w:ascii="Times New Roman" w:hAnsi="Times New Roman" w:cs="Times New Roman"/>
          <w:sz w:val="26"/>
          <w:szCs w:val="26"/>
        </w:rPr>
        <w:t>”</w:t>
      </w:r>
      <w:r w:rsidR="001C6A6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662564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A0503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1A0503">
        <w:rPr>
          <w:rFonts w:ascii="Times New Roman" w:hAnsi="Times New Roman" w:cs="Times New Roman"/>
          <w:sz w:val="26"/>
          <w:szCs w:val="26"/>
        </w:rPr>
        <w:tab/>
      </w:r>
      <w:r w:rsidR="00BA2509" w:rsidRPr="00B9442D">
        <w:rPr>
          <w:rFonts w:ascii="Times New Roman" w:hAnsi="Times New Roman" w:cs="Times New Roman"/>
          <w:sz w:val="26"/>
          <w:szCs w:val="26"/>
        </w:rPr>
        <w:t xml:space="preserve">Now what he points out is this </w:t>
      </w:r>
      <w:r w:rsidR="00C36CDF">
        <w:rPr>
          <w:rFonts w:ascii="Times New Roman" w:hAnsi="Times New Roman" w:cs="Times New Roman"/>
          <w:sz w:val="26"/>
          <w:szCs w:val="26"/>
        </w:rPr>
        <w:t xml:space="preserve">is the </w:t>
      </w:r>
      <w:r w:rsidR="00BA2509" w:rsidRPr="00B9442D">
        <w:rPr>
          <w:rFonts w:ascii="Times New Roman" w:hAnsi="Times New Roman" w:cs="Times New Roman"/>
          <w:sz w:val="26"/>
          <w:szCs w:val="26"/>
        </w:rPr>
        <w:t>whole family with the servants and the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70225" w:rsidRPr="00B9442D">
        <w:rPr>
          <w:rFonts w:ascii="Times New Roman" w:hAnsi="Times New Roman" w:cs="Times New Roman"/>
          <w:sz w:val="26"/>
          <w:szCs w:val="26"/>
        </w:rPr>
        <w:t>Levites</w:t>
      </w:r>
      <w:r w:rsidR="00484691">
        <w:rPr>
          <w:rFonts w:ascii="Times New Roman" w:hAnsi="Times New Roman" w:cs="Times New Roman"/>
          <w:sz w:val="26"/>
          <w:szCs w:val="26"/>
        </w:rPr>
        <w:t>. T</w:t>
      </w:r>
      <w:r w:rsidR="00CD30D2" w:rsidRPr="00B9442D">
        <w:rPr>
          <w:rFonts w:ascii="Times New Roman" w:hAnsi="Times New Roman" w:cs="Times New Roman"/>
          <w:sz w:val="26"/>
          <w:szCs w:val="26"/>
        </w:rPr>
        <w:t>hink of what</w:t>
      </w:r>
      <w:r w:rsidR="00EA567E" w:rsidRPr="00B9442D">
        <w:rPr>
          <w:rFonts w:ascii="Times New Roman" w:hAnsi="Times New Roman" w:cs="Times New Roman"/>
          <w:sz w:val="26"/>
          <w:szCs w:val="26"/>
        </w:rPr>
        <w:t xml:space="preserve"> that meant </w:t>
      </w:r>
      <w:r w:rsidR="001F05F9" w:rsidRPr="00B9442D">
        <w:rPr>
          <w:rFonts w:ascii="Times New Roman" w:hAnsi="Times New Roman" w:cs="Times New Roman"/>
          <w:sz w:val="26"/>
          <w:szCs w:val="26"/>
        </w:rPr>
        <w:t>practically</w:t>
      </w:r>
      <w:r w:rsidR="00EA567E" w:rsidRPr="00B9442D">
        <w:rPr>
          <w:rFonts w:ascii="Times New Roman" w:hAnsi="Times New Roman" w:cs="Times New Roman"/>
          <w:sz w:val="26"/>
          <w:szCs w:val="26"/>
        </w:rPr>
        <w:t xml:space="preserve"> for a city such as Dan north of Galilee 150</w:t>
      </w:r>
      <w:r w:rsidR="00484691">
        <w:rPr>
          <w:rFonts w:ascii="Times New Roman" w:hAnsi="Times New Roman" w:cs="Times New Roman"/>
          <w:sz w:val="26"/>
          <w:szCs w:val="26"/>
        </w:rPr>
        <w:t xml:space="preserve"> </w:t>
      </w:r>
      <w:r w:rsidR="00EA567E" w:rsidRPr="00B9442D">
        <w:rPr>
          <w:rFonts w:ascii="Times New Roman" w:hAnsi="Times New Roman" w:cs="Times New Roman"/>
          <w:sz w:val="26"/>
          <w:szCs w:val="26"/>
        </w:rPr>
        <w:t xml:space="preserve">km from </w:t>
      </w:r>
      <w:r w:rsidR="001F05F9" w:rsidRPr="00B9442D">
        <w:rPr>
          <w:rFonts w:ascii="Times New Roman" w:hAnsi="Times New Roman" w:cs="Times New Roman"/>
          <w:sz w:val="26"/>
          <w:szCs w:val="26"/>
        </w:rPr>
        <w:t>Jerusalem</w:t>
      </w:r>
      <w:r w:rsidR="00EA567E" w:rsidRPr="00B9442D">
        <w:rPr>
          <w:rFonts w:ascii="Times New Roman" w:hAnsi="Times New Roman" w:cs="Times New Roman"/>
          <w:sz w:val="26"/>
          <w:szCs w:val="26"/>
        </w:rPr>
        <w:t>.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Mini</w:t>
      </w:r>
      <w:r w:rsidR="00FC6D69" w:rsidRPr="00B9442D">
        <w:rPr>
          <w:rFonts w:ascii="Times New Roman" w:hAnsi="Times New Roman" w:cs="Times New Roman"/>
          <w:sz w:val="26"/>
          <w:szCs w:val="26"/>
        </w:rPr>
        <w:t>mal</w:t>
      </w:r>
      <w:r w:rsidR="0013083D" w:rsidRPr="00B9442D">
        <w:rPr>
          <w:rFonts w:ascii="Times New Roman" w:hAnsi="Times New Roman" w:cs="Times New Roman"/>
          <w:sz w:val="26"/>
          <w:szCs w:val="26"/>
        </w:rPr>
        <w:t>ly</w:t>
      </w:r>
      <w:r w:rsidR="00CD30D2" w:rsidRPr="00B9442D">
        <w:rPr>
          <w:rFonts w:ascii="Times New Roman" w:hAnsi="Times New Roman" w:cs="Times New Roman"/>
          <w:sz w:val="26"/>
          <w:szCs w:val="26"/>
        </w:rPr>
        <w:t>,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three times a year at the peak</w:t>
      </w:r>
      <w:r w:rsidR="00FC6D6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36CDF">
        <w:rPr>
          <w:rFonts w:ascii="Times New Roman" w:hAnsi="Times New Roman" w:cs="Times New Roman"/>
          <w:sz w:val="26"/>
          <w:szCs w:val="26"/>
        </w:rPr>
        <w:t>of harvest</w:t>
      </w:r>
      <w:r w:rsidR="00FC6D69" w:rsidRPr="00B9442D">
        <w:rPr>
          <w:rFonts w:ascii="Times New Roman" w:hAnsi="Times New Roman" w:cs="Times New Roman"/>
          <w:sz w:val="26"/>
          <w:szCs w:val="26"/>
        </w:rPr>
        <w:t>, offering the free will offering</w:t>
      </w:r>
      <w:r w:rsidR="00C36CDF">
        <w:rPr>
          <w:rFonts w:ascii="Times New Roman" w:hAnsi="Times New Roman" w:cs="Times New Roman"/>
          <w:sz w:val="26"/>
          <w:szCs w:val="26"/>
        </w:rPr>
        <w:t xml:space="preserve"> and</w:t>
      </w:r>
      <w:r w:rsidR="00FC6D6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3083D" w:rsidRPr="00B9442D">
        <w:rPr>
          <w:rFonts w:ascii="Times New Roman" w:hAnsi="Times New Roman" w:cs="Times New Roman"/>
          <w:sz w:val="26"/>
          <w:szCs w:val="26"/>
        </w:rPr>
        <w:t>other required offering</w:t>
      </w:r>
      <w:r w:rsidR="00484691">
        <w:rPr>
          <w:rFonts w:ascii="Times New Roman" w:hAnsi="Times New Roman" w:cs="Times New Roman"/>
          <w:sz w:val="26"/>
          <w:szCs w:val="26"/>
        </w:rPr>
        <w:t>s</w:t>
      </w:r>
      <w:r w:rsidR="0013083D" w:rsidRPr="00B9442D">
        <w:rPr>
          <w:rFonts w:ascii="Times New Roman" w:hAnsi="Times New Roman" w:cs="Times New Roman"/>
          <w:sz w:val="26"/>
          <w:szCs w:val="26"/>
        </w:rPr>
        <w:t>. The whol</w:t>
      </w:r>
      <w:r w:rsidR="00FC6D69" w:rsidRPr="00B9442D">
        <w:rPr>
          <w:rFonts w:ascii="Times New Roman" w:hAnsi="Times New Roman" w:cs="Times New Roman"/>
          <w:sz w:val="26"/>
          <w:szCs w:val="26"/>
        </w:rPr>
        <w:t xml:space="preserve">e family was to make a trip to </w:t>
      </w:r>
      <w:r w:rsidR="00CD30D2" w:rsidRPr="00B9442D">
        <w:rPr>
          <w:rFonts w:ascii="Times New Roman" w:hAnsi="Times New Roman" w:cs="Times New Roman"/>
          <w:sz w:val="26"/>
          <w:szCs w:val="26"/>
        </w:rPr>
        <w:lastRenderedPageBreak/>
        <w:t>Jerusa</w:t>
      </w:r>
      <w:r w:rsidR="001F05F9" w:rsidRPr="00B9442D">
        <w:rPr>
          <w:rFonts w:ascii="Times New Roman" w:hAnsi="Times New Roman" w:cs="Times New Roman"/>
          <w:sz w:val="26"/>
          <w:szCs w:val="26"/>
        </w:rPr>
        <w:t>lem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. </w:t>
      </w:r>
      <w:r w:rsidR="00484691">
        <w:rPr>
          <w:rFonts w:ascii="Times New Roman" w:hAnsi="Times New Roman" w:cs="Times New Roman"/>
          <w:sz w:val="26"/>
          <w:szCs w:val="26"/>
        </w:rPr>
        <w:t xml:space="preserve">Now </w:t>
      </w:r>
      <w:proofErr w:type="spellStart"/>
      <w:r w:rsidR="00E5383D">
        <w:rPr>
          <w:rFonts w:ascii="Times New Roman" w:hAnsi="Times New Roman" w:cs="Times New Roman"/>
          <w:sz w:val="26"/>
          <w:szCs w:val="26"/>
        </w:rPr>
        <w:t>Halwarda</w:t>
      </w:r>
      <w:proofErr w:type="spellEnd"/>
      <w:r w:rsidR="00E5383D">
        <w:rPr>
          <w:rFonts w:ascii="Times New Roman" w:hAnsi="Times New Roman" w:cs="Times New Roman"/>
          <w:sz w:val="26"/>
          <w:szCs w:val="26"/>
        </w:rPr>
        <w:t>,</w:t>
      </w:r>
      <w:r w:rsidR="00484691">
        <w:rPr>
          <w:rFonts w:ascii="Times New Roman" w:hAnsi="Times New Roman" w:cs="Times New Roman"/>
          <w:sz w:val="26"/>
          <w:szCs w:val="26"/>
        </w:rPr>
        <w:t xml:space="preserve"> i</w:t>
      </w:r>
      <w:r w:rsidR="00CD30D2" w:rsidRPr="00B9442D">
        <w:rPr>
          <w:rFonts w:ascii="Times New Roman" w:hAnsi="Times New Roman" w:cs="Times New Roman"/>
          <w:sz w:val="26"/>
          <w:szCs w:val="26"/>
        </w:rPr>
        <w:t>n his article discusses what the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mean</w:t>
      </w:r>
      <w:r w:rsidR="00CD30D2" w:rsidRPr="00B9442D">
        <w:rPr>
          <w:rFonts w:ascii="Times New Roman" w:hAnsi="Times New Roman" w:cs="Times New Roman"/>
          <w:sz w:val="26"/>
          <w:szCs w:val="26"/>
        </w:rPr>
        <w:t>ing</w:t>
      </w:r>
      <w:r w:rsidR="00FC6D6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36CDF">
        <w:rPr>
          <w:rFonts w:ascii="Times New Roman" w:hAnsi="Times New Roman" w:cs="Times New Roman"/>
          <w:sz w:val="26"/>
          <w:szCs w:val="26"/>
        </w:rPr>
        <w:t xml:space="preserve">would be in a </w:t>
      </w:r>
      <w:r w:rsidR="00FC6D69" w:rsidRPr="00B9442D">
        <w:rPr>
          <w:rFonts w:ascii="Times New Roman" w:hAnsi="Times New Roman" w:cs="Times New Roman"/>
          <w:sz w:val="26"/>
          <w:szCs w:val="26"/>
        </w:rPr>
        <w:t>European context</w:t>
      </w:r>
      <w:r w:rsidR="00C36CDF">
        <w:rPr>
          <w:rFonts w:ascii="Times New Roman" w:hAnsi="Times New Roman" w:cs="Times New Roman"/>
          <w:sz w:val="26"/>
          <w:szCs w:val="26"/>
        </w:rPr>
        <w:t>. It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would be roughly an absence</w:t>
      </w:r>
      <w:r w:rsidR="00FC6D69" w:rsidRPr="00B9442D">
        <w:rPr>
          <w:rFonts w:ascii="Times New Roman" w:hAnsi="Times New Roman" w:cs="Times New Roman"/>
          <w:sz w:val="26"/>
          <w:szCs w:val="26"/>
        </w:rPr>
        <w:t xml:space="preserve"> of a week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FC6D6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3083D" w:rsidRPr="00B9442D">
        <w:rPr>
          <w:rFonts w:ascii="Times New Roman" w:hAnsi="Times New Roman" w:cs="Times New Roman"/>
          <w:sz w:val="26"/>
          <w:szCs w:val="26"/>
        </w:rPr>
        <w:t>minimal</w:t>
      </w:r>
      <w:r w:rsidR="00484691">
        <w:rPr>
          <w:rFonts w:ascii="Times New Roman" w:hAnsi="Times New Roman" w:cs="Times New Roman"/>
          <w:sz w:val="26"/>
          <w:szCs w:val="26"/>
        </w:rPr>
        <w:t>ly.  I</w:t>
      </w:r>
      <w:r w:rsidR="00C36CDF">
        <w:rPr>
          <w:rFonts w:ascii="Times New Roman" w:hAnsi="Times New Roman" w:cs="Times New Roman"/>
          <w:sz w:val="26"/>
          <w:szCs w:val="26"/>
        </w:rPr>
        <w:t>t</w:t>
      </w:r>
      <w:r w:rsidR="00484691">
        <w:rPr>
          <w:rFonts w:ascii="Times New Roman" w:hAnsi="Times New Roman" w:cs="Times New Roman"/>
          <w:sz w:val="26"/>
          <w:szCs w:val="26"/>
        </w:rPr>
        <w:t xml:space="preserve"> would be like </w:t>
      </w:r>
      <w:r w:rsidR="0013083D" w:rsidRPr="00B9442D">
        <w:rPr>
          <w:rFonts w:ascii="Times New Roman" w:hAnsi="Times New Roman" w:cs="Times New Roman"/>
          <w:sz w:val="26"/>
          <w:szCs w:val="26"/>
        </w:rPr>
        <w:t>us today going to Florida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or something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or perhaps f</w:t>
      </w:r>
      <w:r w:rsidR="00E5383D">
        <w:rPr>
          <w:rFonts w:ascii="Times New Roman" w:hAnsi="Times New Roman" w:cs="Times New Roman"/>
          <w:sz w:val="26"/>
          <w:szCs w:val="26"/>
        </w:rPr>
        <w:t>a</w:t>
      </w:r>
      <w:r w:rsidR="0013083D" w:rsidRPr="00B9442D">
        <w:rPr>
          <w:rFonts w:ascii="Times New Roman" w:hAnsi="Times New Roman" w:cs="Times New Roman"/>
          <w:sz w:val="26"/>
          <w:szCs w:val="26"/>
        </w:rPr>
        <w:t>rther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to make these required offerings. What about the Levites</w:t>
      </w:r>
      <w:r w:rsidR="00484691">
        <w:rPr>
          <w:rFonts w:ascii="Times New Roman" w:hAnsi="Times New Roman" w:cs="Times New Roman"/>
          <w:sz w:val="26"/>
          <w:szCs w:val="26"/>
        </w:rPr>
        <w:t>? C</w:t>
      </w:r>
      <w:r w:rsidR="0013083D" w:rsidRPr="00B9442D">
        <w:rPr>
          <w:rFonts w:ascii="Times New Roman" w:hAnsi="Times New Roman" w:cs="Times New Roman"/>
          <w:sz w:val="26"/>
          <w:szCs w:val="26"/>
        </w:rPr>
        <w:t>onsider</w:t>
      </w:r>
      <w:r w:rsidR="00484691">
        <w:rPr>
          <w:rFonts w:ascii="Times New Roman" w:hAnsi="Times New Roman" w:cs="Times New Roman"/>
          <w:sz w:val="26"/>
          <w:szCs w:val="26"/>
        </w:rPr>
        <w:t xml:space="preserve"> if there were </w:t>
      </w:r>
      <w:r w:rsidR="0013083D" w:rsidRPr="00B9442D">
        <w:rPr>
          <w:rFonts w:ascii="Times New Roman" w:hAnsi="Times New Roman" w:cs="Times New Roman"/>
          <w:sz w:val="26"/>
          <w:szCs w:val="26"/>
        </w:rPr>
        <w:t>many families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in the village</w:t>
      </w:r>
      <w:r w:rsidR="00E5383D">
        <w:rPr>
          <w:rFonts w:ascii="Times New Roman" w:hAnsi="Times New Roman" w:cs="Times New Roman"/>
          <w:sz w:val="26"/>
          <w:szCs w:val="26"/>
        </w:rPr>
        <w:t>. A Levite would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be on the road the whole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year</w:t>
      </w:r>
      <w:r w:rsidR="001463F4" w:rsidRPr="00B9442D">
        <w:rPr>
          <w:rFonts w:ascii="Times New Roman" w:hAnsi="Times New Roman" w:cs="Times New Roman"/>
          <w:sz w:val="26"/>
          <w:szCs w:val="26"/>
        </w:rPr>
        <w:t>.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36CDF">
        <w:rPr>
          <w:rFonts w:ascii="Times New Roman" w:hAnsi="Times New Roman" w:cs="Times New Roman"/>
          <w:sz w:val="26"/>
          <w:szCs w:val="26"/>
        </w:rPr>
        <w:t xml:space="preserve">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  <w:t>6.  Single Sanctuary But Multiplicity of Altars</w:t>
      </w:r>
      <w:r w:rsidR="001A0503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1A0503">
        <w:rPr>
          <w:rFonts w:ascii="Times New Roman" w:hAnsi="Times New Roman" w:cs="Times New Roman"/>
          <w:sz w:val="26"/>
          <w:szCs w:val="26"/>
        </w:rPr>
        <w:tab/>
      </w:r>
      <w:r w:rsidR="00C36CDF">
        <w:rPr>
          <w:rFonts w:ascii="Times New Roman" w:hAnsi="Times New Roman" w:cs="Times New Roman"/>
          <w:sz w:val="26"/>
          <w:szCs w:val="26"/>
        </w:rPr>
        <w:t>T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hen </w:t>
      </w:r>
      <w:proofErr w:type="spellStart"/>
      <w:r w:rsidR="00484691">
        <w:rPr>
          <w:rFonts w:ascii="Times New Roman" w:hAnsi="Times New Roman" w:cs="Times New Roman"/>
          <w:sz w:val="26"/>
          <w:szCs w:val="26"/>
        </w:rPr>
        <w:t>Halwarda</w:t>
      </w:r>
      <w:proofErr w:type="spellEnd"/>
      <w:r w:rsidR="00484691">
        <w:rPr>
          <w:rFonts w:ascii="Times New Roman" w:hAnsi="Times New Roman" w:cs="Times New Roman"/>
          <w:sz w:val="26"/>
          <w:szCs w:val="26"/>
        </w:rPr>
        <w:t xml:space="preserve"> </w:t>
      </w:r>
      <w:r w:rsidR="00CD30D2" w:rsidRPr="00B9442D">
        <w:rPr>
          <w:rFonts w:ascii="Times New Roman" w:hAnsi="Times New Roman" w:cs="Times New Roman"/>
          <w:sz w:val="26"/>
          <w:szCs w:val="26"/>
        </w:rPr>
        <w:t>says</w:t>
      </w:r>
      <w:r w:rsidR="00C36CDF">
        <w:rPr>
          <w:rFonts w:ascii="Times New Roman" w:hAnsi="Times New Roman" w:cs="Times New Roman"/>
          <w:sz w:val="26"/>
          <w:szCs w:val="26"/>
        </w:rPr>
        <w:t>,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5383D">
        <w:rPr>
          <w:rFonts w:ascii="Times New Roman" w:hAnsi="Times New Roman" w:cs="Times New Roman"/>
          <w:sz w:val="26"/>
          <w:szCs w:val="26"/>
        </w:rPr>
        <w:t>“W</w:t>
      </w:r>
      <w:r w:rsidR="001463F4" w:rsidRPr="00B9442D">
        <w:rPr>
          <w:rFonts w:ascii="Times New Roman" w:hAnsi="Times New Roman" w:cs="Times New Roman"/>
          <w:sz w:val="26"/>
          <w:szCs w:val="26"/>
        </w:rPr>
        <w:t>hy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36CDF">
        <w:rPr>
          <w:rFonts w:ascii="Times New Roman" w:hAnsi="Times New Roman" w:cs="Times New Roman"/>
          <w:sz w:val="26"/>
          <w:szCs w:val="26"/>
        </w:rPr>
        <w:t xml:space="preserve">if you were a Levite from a </w:t>
      </w:r>
      <w:r w:rsidR="00CD30D2" w:rsidRPr="00B9442D">
        <w:rPr>
          <w:rFonts w:ascii="Times New Roman" w:hAnsi="Times New Roman" w:cs="Times New Roman"/>
          <w:sz w:val="26"/>
          <w:szCs w:val="26"/>
        </w:rPr>
        <w:t>northern town</w:t>
      </w:r>
      <w:r w:rsidR="001463F4" w:rsidRPr="00B9442D">
        <w:rPr>
          <w:rFonts w:ascii="Times New Roman" w:hAnsi="Times New Roman" w:cs="Times New Roman"/>
          <w:sz w:val="26"/>
          <w:szCs w:val="26"/>
        </w:rPr>
        <w:t xml:space="preserve"> not just stay in </w:t>
      </w:r>
      <w:r w:rsidR="001F05F9" w:rsidRPr="00B9442D">
        <w:rPr>
          <w:rFonts w:ascii="Times New Roman" w:hAnsi="Times New Roman" w:cs="Times New Roman"/>
          <w:sz w:val="26"/>
          <w:szCs w:val="26"/>
        </w:rPr>
        <w:t>Jerusalem</w:t>
      </w:r>
      <w:r w:rsidR="001463F4" w:rsidRPr="00B9442D">
        <w:rPr>
          <w:rFonts w:ascii="Times New Roman" w:hAnsi="Times New Roman" w:cs="Times New Roman"/>
          <w:sz w:val="26"/>
          <w:szCs w:val="26"/>
        </w:rPr>
        <w:t xml:space="preserve"> and meet them when they come?</w:t>
      </w:r>
      <w:r w:rsidR="00E5383D">
        <w:rPr>
          <w:rFonts w:ascii="Times New Roman" w:hAnsi="Times New Roman" w:cs="Times New Roman"/>
          <w:sz w:val="26"/>
          <w:szCs w:val="26"/>
        </w:rPr>
        <w:t>”</w:t>
      </w:r>
      <w:r w:rsidR="001463F4" w:rsidRPr="00B9442D">
        <w:rPr>
          <w:rFonts w:ascii="Times New Roman" w:hAnsi="Times New Roman" w:cs="Times New Roman"/>
          <w:sz w:val="26"/>
          <w:szCs w:val="26"/>
        </w:rPr>
        <w:t xml:space="preserve"> He says that it is 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impractical </w:t>
      </w:r>
      <w:r w:rsidR="00E5383D">
        <w:rPr>
          <w:rFonts w:ascii="Times New Roman" w:hAnsi="Times New Roman" w:cs="Times New Roman"/>
          <w:sz w:val="26"/>
          <w:szCs w:val="26"/>
        </w:rPr>
        <w:t xml:space="preserve">to have only one place of sacrifice; </w:t>
      </w:r>
      <w:r w:rsidR="00CD30D2" w:rsidRPr="00B9442D">
        <w:rPr>
          <w:rFonts w:ascii="Times New Roman" w:hAnsi="Times New Roman" w:cs="Times New Roman"/>
          <w:sz w:val="26"/>
          <w:szCs w:val="26"/>
        </w:rPr>
        <w:t>it couldn’t be carried out.</w:t>
      </w:r>
      <w:r w:rsidR="0013083D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D30D2" w:rsidRPr="00B9442D">
        <w:rPr>
          <w:rFonts w:ascii="Times New Roman" w:hAnsi="Times New Roman" w:cs="Times New Roman"/>
          <w:sz w:val="26"/>
          <w:szCs w:val="26"/>
        </w:rPr>
        <w:t>H</w:t>
      </w:r>
      <w:r w:rsidR="001463F4" w:rsidRPr="00B9442D">
        <w:rPr>
          <w:rFonts w:ascii="Times New Roman" w:hAnsi="Times New Roman" w:cs="Times New Roman"/>
          <w:sz w:val="26"/>
          <w:szCs w:val="26"/>
        </w:rPr>
        <w:t>is conclusion is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that Israel never had a law that bound </w:t>
      </w:r>
      <w:r w:rsidR="00484691">
        <w:rPr>
          <w:rFonts w:ascii="Times New Roman" w:hAnsi="Times New Roman" w:cs="Times New Roman"/>
          <w:sz w:val="26"/>
          <w:szCs w:val="26"/>
        </w:rPr>
        <w:t xml:space="preserve">the cult 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to one place. </w:t>
      </w:r>
      <w:r w:rsidR="00C36CDF">
        <w:rPr>
          <w:rFonts w:ascii="Times New Roman" w:hAnsi="Times New Roman" w:cs="Times New Roman"/>
          <w:sz w:val="26"/>
          <w:szCs w:val="26"/>
        </w:rPr>
        <w:t xml:space="preserve">Rather, they </w:t>
      </w:r>
      <w:r w:rsidR="001463F4" w:rsidRPr="00B9442D">
        <w:rPr>
          <w:rFonts w:ascii="Times New Roman" w:hAnsi="Times New Roman" w:cs="Times New Roman"/>
          <w:sz w:val="26"/>
          <w:szCs w:val="26"/>
        </w:rPr>
        <w:t>al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ways lived under a law that </w:t>
      </w:r>
      <w:r w:rsidR="001463F4" w:rsidRPr="00B9442D">
        <w:rPr>
          <w:rFonts w:ascii="Times New Roman" w:hAnsi="Times New Roman" w:cs="Times New Roman"/>
          <w:sz w:val="26"/>
          <w:szCs w:val="26"/>
        </w:rPr>
        <w:t>provided</w:t>
      </w:r>
      <w:r w:rsidR="00260005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for local places </w:t>
      </w:r>
      <w:r w:rsidR="00C36CDF">
        <w:rPr>
          <w:rFonts w:ascii="Times New Roman" w:hAnsi="Times New Roman" w:cs="Times New Roman"/>
          <w:sz w:val="26"/>
          <w:szCs w:val="26"/>
        </w:rPr>
        <w:t>as well as a</w:t>
      </w:r>
      <w:r w:rsidR="00260005" w:rsidRPr="00B9442D">
        <w:rPr>
          <w:rFonts w:ascii="Times New Roman" w:hAnsi="Times New Roman" w:cs="Times New Roman"/>
          <w:sz w:val="26"/>
          <w:szCs w:val="26"/>
        </w:rPr>
        <w:t xml:space="preserve"> ce</w:t>
      </w:r>
      <w:r w:rsidR="00CD30D2" w:rsidRPr="00B9442D">
        <w:rPr>
          <w:rFonts w:ascii="Times New Roman" w:hAnsi="Times New Roman" w:cs="Times New Roman"/>
          <w:sz w:val="26"/>
          <w:szCs w:val="26"/>
        </w:rPr>
        <w:t>ntral sanctuary</w:t>
      </w:r>
      <w:r w:rsidR="00C36CDF">
        <w:rPr>
          <w:rFonts w:ascii="Times New Roman" w:hAnsi="Times New Roman" w:cs="Times New Roman"/>
          <w:sz w:val="26"/>
          <w:szCs w:val="26"/>
        </w:rPr>
        <w:t>--o</w:t>
      </w:r>
      <w:r w:rsidR="00CD30D2" w:rsidRPr="00B9442D">
        <w:rPr>
          <w:rFonts w:ascii="Times New Roman" w:hAnsi="Times New Roman" w:cs="Times New Roman"/>
          <w:sz w:val="26"/>
          <w:szCs w:val="26"/>
        </w:rPr>
        <w:t>riginally</w:t>
      </w:r>
      <w:r w:rsidR="00484691">
        <w:rPr>
          <w:rFonts w:ascii="Times New Roman" w:hAnsi="Times New Roman" w:cs="Times New Roman"/>
          <w:sz w:val="26"/>
          <w:szCs w:val="26"/>
        </w:rPr>
        <w:t xml:space="preserve"> at Shiloh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, later </w:t>
      </w:r>
      <w:r w:rsidR="00E5383D">
        <w:rPr>
          <w:rFonts w:ascii="Times New Roman" w:hAnsi="Times New Roman" w:cs="Times New Roman"/>
          <w:sz w:val="26"/>
          <w:szCs w:val="26"/>
        </w:rPr>
        <w:t xml:space="preserve">in </w:t>
      </w:r>
      <w:r w:rsidR="00CD30D2" w:rsidRPr="00B9442D">
        <w:rPr>
          <w:rFonts w:ascii="Times New Roman" w:hAnsi="Times New Roman" w:cs="Times New Roman"/>
          <w:sz w:val="26"/>
          <w:szCs w:val="26"/>
        </w:rPr>
        <w:t>Jerusalem</w:t>
      </w:r>
      <w:r w:rsidR="00484691">
        <w:rPr>
          <w:rFonts w:ascii="Times New Roman" w:hAnsi="Times New Roman" w:cs="Times New Roman"/>
          <w:sz w:val="26"/>
          <w:szCs w:val="26"/>
        </w:rPr>
        <w:t>. T</w:t>
      </w:r>
      <w:r w:rsidR="00CD30D2" w:rsidRPr="00B9442D">
        <w:rPr>
          <w:rFonts w:ascii="Times New Roman" w:hAnsi="Times New Roman" w:cs="Times New Roman"/>
          <w:sz w:val="26"/>
          <w:szCs w:val="26"/>
        </w:rPr>
        <w:t>hat doesn’t mean that there wasn’t a central sa</w:t>
      </w:r>
      <w:r w:rsidR="00764D12" w:rsidRPr="00B9442D">
        <w:rPr>
          <w:rFonts w:ascii="Times New Roman" w:hAnsi="Times New Roman" w:cs="Times New Roman"/>
          <w:sz w:val="26"/>
          <w:szCs w:val="26"/>
        </w:rPr>
        <w:t xml:space="preserve">nctuary </w:t>
      </w:r>
      <w:r w:rsidR="00484691">
        <w:rPr>
          <w:rFonts w:ascii="Times New Roman" w:hAnsi="Times New Roman" w:cs="Times New Roman"/>
          <w:sz w:val="26"/>
          <w:szCs w:val="26"/>
        </w:rPr>
        <w:t>and there wasn’t primacy of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sanctuary</w:t>
      </w:r>
      <w:r w:rsidR="00484691">
        <w:rPr>
          <w:rFonts w:ascii="Times New Roman" w:hAnsi="Times New Roman" w:cs="Times New Roman"/>
          <w:sz w:val="26"/>
          <w:szCs w:val="26"/>
        </w:rPr>
        <w:t xml:space="preserve"> c</w:t>
      </w:r>
      <w:r w:rsidR="00260005" w:rsidRPr="00B9442D">
        <w:rPr>
          <w:rFonts w:ascii="Times New Roman" w:hAnsi="Times New Roman" w:cs="Times New Roman"/>
          <w:sz w:val="26"/>
          <w:szCs w:val="26"/>
        </w:rPr>
        <w:t xml:space="preserve">onnected with the ark and the temple but </w:t>
      </w:r>
      <w:r w:rsidR="00E5383D">
        <w:rPr>
          <w:rFonts w:ascii="Times New Roman" w:hAnsi="Times New Roman" w:cs="Times New Roman"/>
          <w:sz w:val="26"/>
          <w:szCs w:val="26"/>
        </w:rPr>
        <w:t xml:space="preserve">that was </w:t>
      </w:r>
      <w:r w:rsidR="00260005" w:rsidRPr="00B9442D">
        <w:rPr>
          <w:rFonts w:ascii="Times New Roman" w:hAnsi="Times New Roman" w:cs="Times New Roman"/>
          <w:sz w:val="26"/>
          <w:szCs w:val="26"/>
        </w:rPr>
        <w:t>not to the point of exclusiveness or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illegality of any offering </w:t>
      </w:r>
      <w:r w:rsidR="00484691">
        <w:rPr>
          <w:rFonts w:ascii="Times New Roman" w:hAnsi="Times New Roman" w:cs="Times New Roman"/>
          <w:sz w:val="26"/>
          <w:szCs w:val="26"/>
        </w:rPr>
        <w:t>at</w:t>
      </w:r>
      <w:r w:rsidR="00CD30D2" w:rsidRPr="00B9442D">
        <w:rPr>
          <w:rFonts w:ascii="Times New Roman" w:hAnsi="Times New Roman" w:cs="Times New Roman"/>
          <w:sz w:val="26"/>
          <w:szCs w:val="26"/>
        </w:rPr>
        <w:t xml:space="preserve"> any other </w:t>
      </w:r>
      <w:r w:rsidR="00484691">
        <w:rPr>
          <w:rFonts w:ascii="Times New Roman" w:hAnsi="Times New Roman" w:cs="Times New Roman"/>
          <w:sz w:val="26"/>
          <w:szCs w:val="26"/>
        </w:rPr>
        <w:t>altar</w:t>
      </w:r>
      <w:r w:rsidR="00260005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5383D">
        <w:rPr>
          <w:rFonts w:ascii="Times New Roman" w:hAnsi="Times New Roman" w:cs="Times New Roman"/>
          <w:sz w:val="26"/>
          <w:szCs w:val="26"/>
        </w:rPr>
        <w:t>except</w:t>
      </w:r>
      <w:r w:rsidR="00484691">
        <w:rPr>
          <w:rFonts w:ascii="Times New Roman" w:hAnsi="Times New Roman" w:cs="Times New Roman"/>
          <w:sz w:val="26"/>
          <w:szCs w:val="26"/>
        </w:rPr>
        <w:t xml:space="preserve"> </w:t>
      </w:r>
      <w:r w:rsidR="00260005" w:rsidRPr="00B9442D">
        <w:rPr>
          <w:rFonts w:ascii="Times New Roman" w:hAnsi="Times New Roman" w:cs="Times New Roman"/>
          <w:sz w:val="26"/>
          <w:szCs w:val="26"/>
        </w:rPr>
        <w:t xml:space="preserve">the sanctuary.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  <w:t>7.  Location of Altars</w:t>
      </w:r>
      <w:r w:rsidR="00484691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ab/>
      </w:r>
      <w:r w:rsidR="00260005" w:rsidRPr="00B9442D">
        <w:rPr>
          <w:rFonts w:ascii="Times New Roman" w:hAnsi="Times New Roman" w:cs="Times New Roman"/>
          <w:sz w:val="26"/>
          <w:szCs w:val="26"/>
        </w:rPr>
        <w:t>So he said what was regulated was the place w</w:t>
      </w:r>
      <w:r w:rsidR="00197D83" w:rsidRPr="00B9442D">
        <w:rPr>
          <w:rFonts w:ascii="Times New Roman" w:hAnsi="Times New Roman" w:cs="Times New Roman"/>
          <w:sz w:val="26"/>
          <w:szCs w:val="26"/>
        </w:rPr>
        <w:t>here alt</w:t>
      </w:r>
      <w:r w:rsidR="00C36CDF">
        <w:rPr>
          <w:rFonts w:ascii="Times New Roman" w:hAnsi="Times New Roman" w:cs="Times New Roman"/>
          <w:sz w:val="26"/>
          <w:szCs w:val="26"/>
        </w:rPr>
        <w:t>a</w:t>
      </w:r>
      <w:r w:rsidR="00197D83" w:rsidRPr="00B9442D">
        <w:rPr>
          <w:rFonts w:ascii="Times New Roman" w:hAnsi="Times New Roman" w:cs="Times New Roman"/>
          <w:sz w:val="26"/>
          <w:szCs w:val="26"/>
        </w:rPr>
        <w:t>rs were to be built</w:t>
      </w:r>
      <w:r w:rsidR="00E5383D">
        <w:rPr>
          <w:rFonts w:ascii="Times New Roman" w:hAnsi="Times New Roman" w:cs="Times New Roman"/>
          <w:sz w:val="26"/>
          <w:szCs w:val="26"/>
        </w:rPr>
        <w:t>: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not just</w:t>
      </w:r>
      <w:r w:rsidR="00260005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97D83" w:rsidRPr="00B9442D">
        <w:rPr>
          <w:rFonts w:ascii="Times New Roman" w:hAnsi="Times New Roman" w:cs="Times New Roman"/>
          <w:sz w:val="26"/>
          <w:szCs w:val="26"/>
        </w:rPr>
        <w:t>arbitra</w:t>
      </w:r>
      <w:r w:rsidR="00484691">
        <w:rPr>
          <w:rFonts w:ascii="Times New Roman" w:hAnsi="Times New Roman" w:cs="Times New Roman"/>
          <w:sz w:val="26"/>
          <w:szCs w:val="26"/>
        </w:rPr>
        <w:t>ril</w:t>
      </w:r>
      <w:r w:rsidR="00197D83" w:rsidRPr="00B9442D">
        <w:rPr>
          <w:rFonts w:ascii="Times New Roman" w:hAnsi="Times New Roman" w:cs="Times New Roman"/>
          <w:sz w:val="26"/>
          <w:szCs w:val="26"/>
        </w:rPr>
        <w:t>y</w:t>
      </w:r>
      <w:r w:rsidR="00260005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97D83" w:rsidRPr="00B9442D">
        <w:rPr>
          <w:rFonts w:ascii="Times New Roman" w:hAnsi="Times New Roman" w:cs="Times New Roman"/>
          <w:sz w:val="26"/>
          <w:szCs w:val="26"/>
        </w:rPr>
        <w:t>anywhere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but the places that the Lord somewhat made clear</w:t>
      </w:r>
      <w:r w:rsidR="00E5383D">
        <w:rPr>
          <w:rFonts w:ascii="Times New Roman" w:hAnsi="Times New Roman" w:cs="Times New Roman"/>
          <w:sz w:val="26"/>
          <w:szCs w:val="26"/>
        </w:rPr>
        <w:t>. How? B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y </w:t>
      </w:r>
      <w:r w:rsidR="00484691">
        <w:rPr>
          <w:rFonts w:ascii="Times New Roman" w:hAnsi="Times New Roman" w:cs="Times New Roman"/>
          <w:sz w:val="26"/>
          <w:szCs w:val="26"/>
        </w:rPr>
        <w:t>theophany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or whatever is </w:t>
      </w:r>
      <w:r w:rsidR="00394145" w:rsidRPr="00B9442D">
        <w:rPr>
          <w:rFonts w:ascii="Times New Roman" w:hAnsi="Times New Roman" w:cs="Times New Roman"/>
          <w:sz w:val="26"/>
          <w:szCs w:val="26"/>
        </w:rPr>
        <w:t xml:space="preserve">not </w:t>
      </w:r>
      <w:r w:rsidR="00197D83" w:rsidRPr="00B9442D">
        <w:rPr>
          <w:rFonts w:ascii="Times New Roman" w:hAnsi="Times New Roman" w:cs="Times New Roman"/>
          <w:sz w:val="26"/>
          <w:szCs w:val="26"/>
        </w:rPr>
        <w:t>explicitly described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but </w:t>
      </w:r>
      <w:r w:rsidR="00484691">
        <w:rPr>
          <w:rFonts w:ascii="Times New Roman" w:hAnsi="Times New Roman" w:cs="Times New Roman"/>
          <w:sz w:val="26"/>
          <w:szCs w:val="26"/>
        </w:rPr>
        <w:t xml:space="preserve">it 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is restricted to places the Lord </w:t>
      </w:r>
      <w:r w:rsidR="00C36CDF">
        <w:rPr>
          <w:rFonts w:ascii="Times New Roman" w:hAnsi="Times New Roman" w:cs="Times New Roman"/>
          <w:sz w:val="26"/>
          <w:szCs w:val="26"/>
        </w:rPr>
        <w:t>i</w:t>
      </w:r>
      <w:r w:rsidR="00394145" w:rsidRPr="00B9442D">
        <w:rPr>
          <w:rFonts w:ascii="Times New Roman" w:hAnsi="Times New Roman" w:cs="Times New Roman"/>
          <w:sz w:val="26"/>
          <w:szCs w:val="26"/>
        </w:rPr>
        <w:t>ndicate</w:t>
      </w:r>
      <w:r w:rsidR="00197D83" w:rsidRPr="00B9442D">
        <w:rPr>
          <w:rFonts w:ascii="Times New Roman" w:hAnsi="Times New Roman" w:cs="Times New Roman"/>
          <w:sz w:val="26"/>
          <w:szCs w:val="26"/>
        </w:rPr>
        <w:t>d</w:t>
      </w:r>
      <w:r w:rsidR="00394145" w:rsidRPr="00B9442D">
        <w:rPr>
          <w:rFonts w:ascii="Times New Roman" w:hAnsi="Times New Roman" w:cs="Times New Roman"/>
          <w:sz w:val="26"/>
          <w:szCs w:val="26"/>
        </w:rPr>
        <w:t>. The material</w:t>
      </w:r>
      <w:r w:rsidR="00E5383D">
        <w:rPr>
          <w:rFonts w:ascii="Times New Roman" w:hAnsi="Times New Roman" w:cs="Times New Roman"/>
          <w:sz w:val="26"/>
          <w:szCs w:val="26"/>
        </w:rPr>
        <w:t>s</w:t>
      </w:r>
      <w:r w:rsidR="00394145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97D83" w:rsidRPr="00B9442D">
        <w:rPr>
          <w:rFonts w:ascii="Times New Roman" w:hAnsi="Times New Roman" w:cs="Times New Roman"/>
          <w:sz w:val="26"/>
          <w:szCs w:val="26"/>
        </w:rPr>
        <w:t>out of</w:t>
      </w:r>
      <w:r w:rsidR="00394145" w:rsidRPr="00B9442D">
        <w:rPr>
          <w:rFonts w:ascii="Times New Roman" w:hAnsi="Times New Roman" w:cs="Times New Roman"/>
          <w:sz w:val="26"/>
          <w:szCs w:val="26"/>
        </w:rPr>
        <w:t xml:space="preserve"> which </w:t>
      </w:r>
      <w:r w:rsidR="006C25FA" w:rsidRPr="00B9442D">
        <w:rPr>
          <w:rFonts w:ascii="Times New Roman" w:hAnsi="Times New Roman" w:cs="Times New Roman"/>
          <w:sz w:val="26"/>
          <w:szCs w:val="26"/>
        </w:rPr>
        <w:t>altars</w:t>
      </w:r>
      <w:r w:rsidR="00394145" w:rsidRPr="00B9442D">
        <w:rPr>
          <w:rFonts w:ascii="Times New Roman" w:hAnsi="Times New Roman" w:cs="Times New Roman"/>
          <w:sz w:val="26"/>
          <w:szCs w:val="26"/>
        </w:rPr>
        <w:t xml:space="preserve"> were to </w:t>
      </w:r>
      <w:r w:rsidR="00197D83" w:rsidRPr="00B9442D">
        <w:rPr>
          <w:rFonts w:ascii="Times New Roman" w:hAnsi="Times New Roman" w:cs="Times New Roman"/>
          <w:sz w:val="26"/>
          <w:szCs w:val="26"/>
        </w:rPr>
        <w:t>be built were to be regulated</w:t>
      </w:r>
      <w:r w:rsidR="00484691">
        <w:rPr>
          <w:rFonts w:ascii="Times New Roman" w:hAnsi="Times New Roman" w:cs="Times New Roman"/>
          <w:sz w:val="26"/>
          <w:szCs w:val="26"/>
        </w:rPr>
        <w:t xml:space="preserve">, </w:t>
      </w:r>
      <w:r w:rsidR="00197D83" w:rsidRPr="00B9442D">
        <w:rPr>
          <w:rFonts w:ascii="Times New Roman" w:hAnsi="Times New Roman" w:cs="Times New Roman"/>
          <w:sz w:val="26"/>
          <w:szCs w:val="26"/>
        </w:rPr>
        <w:t>and</w:t>
      </w:r>
      <w:r w:rsidR="00394145" w:rsidRPr="00B9442D">
        <w:rPr>
          <w:rFonts w:ascii="Times New Roman" w:hAnsi="Times New Roman" w:cs="Times New Roman"/>
          <w:sz w:val="26"/>
          <w:szCs w:val="26"/>
        </w:rPr>
        <w:t xml:space="preserve"> t</w:t>
      </w:r>
      <w:r w:rsidR="00197D83" w:rsidRPr="00B9442D">
        <w:rPr>
          <w:rFonts w:ascii="Times New Roman" w:hAnsi="Times New Roman" w:cs="Times New Roman"/>
          <w:sz w:val="26"/>
          <w:szCs w:val="26"/>
        </w:rPr>
        <w:t>he offering</w:t>
      </w:r>
      <w:r w:rsidR="00C36CDF">
        <w:rPr>
          <w:rFonts w:ascii="Times New Roman" w:hAnsi="Times New Roman" w:cs="Times New Roman"/>
          <w:sz w:val="26"/>
          <w:szCs w:val="26"/>
        </w:rPr>
        <w:t>s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that were to be brough</w:t>
      </w:r>
      <w:r w:rsidR="00394145" w:rsidRPr="00B9442D">
        <w:rPr>
          <w:rFonts w:ascii="Times New Roman" w:hAnsi="Times New Roman" w:cs="Times New Roman"/>
          <w:sz w:val="26"/>
          <w:szCs w:val="26"/>
        </w:rPr>
        <w:t>t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were to be regulated. So God</w:t>
      </w:r>
      <w:r w:rsidR="00394145" w:rsidRPr="00B9442D">
        <w:rPr>
          <w:rFonts w:ascii="Times New Roman" w:hAnsi="Times New Roman" w:cs="Times New Roman"/>
          <w:sz w:val="26"/>
          <w:szCs w:val="26"/>
        </w:rPr>
        <w:t xml:space="preserve"> provided </w:t>
      </w:r>
      <w:r w:rsidR="00197D83" w:rsidRPr="00B9442D">
        <w:rPr>
          <w:rFonts w:ascii="Times New Roman" w:hAnsi="Times New Roman" w:cs="Times New Roman"/>
          <w:sz w:val="26"/>
          <w:szCs w:val="26"/>
        </w:rPr>
        <w:t>for alt</w:t>
      </w:r>
      <w:r w:rsidR="00484691">
        <w:rPr>
          <w:rFonts w:ascii="Times New Roman" w:hAnsi="Times New Roman" w:cs="Times New Roman"/>
          <w:sz w:val="26"/>
          <w:szCs w:val="26"/>
        </w:rPr>
        <w:t>a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rs scattered </w:t>
      </w:r>
      <w:r w:rsidR="00E5383D">
        <w:rPr>
          <w:rFonts w:ascii="Times New Roman" w:hAnsi="Times New Roman" w:cs="Times New Roman"/>
          <w:sz w:val="26"/>
          <w:szCs w:val="26"/>
        </w:rPr>
        <w:t xml:space="preserve">in various localities, but 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that doesn’t mean there is an </w:t>
      </w:r>
      <w:r w:rsidR="00394145" w:rsidRPr="00B9442D">
        <w:rPr>
          <w:rFonts w:ascii="Times New Roman" w:hAnsi="Times New Roman" w:cs="Times New Roman"/>
          <w:sz w:val="26"/>
          <w:szCs w:val="26"/>
        </w:rPr>
        <w:t>alt</w:t>
      </w:r>
      <w:r w:rsidR="00484691">
        <w:rPr>
          <w:rFonts w:ascii="Times New Roman" w:hAnsi="Times New Roman" w:cs="Times New Roman"/>
          <w:sz w:val="26"/>
          <w:szCs w:val="26"/>
        </w:rPr>
        <w:t>a</w:t>
      </w:r>
      <w:r w:rsidR="00394145" w:rsidRPr="00B9442D">
        <w:rPr>
          <w:rFonts w:ascii="Times New Roman" w:hAnsi="Times New Roman" w:cs="Times New Roman"/>
          <w:sz w:val="26"/>
          <w:szCs w:val="26"/>
        </w:rPr>
        <w:t>r in every village or every few miles</w:t>
      </w:r>
      <w:r w:rsidR="00E5383D">
        <w:rPr>
          <w:rFonts w:ascii="Times New Roman" w:hAnsi="Times New Roman" w:cs="Times New Roman"/>
          <w:sz w:val="26"/>
          <w:szCs w:val="26"/>
        </w:rPr>
        <w:t>--</w:t>
      </w:r>
      <w:r w:rsidR="00484691">
        <w:rPr>
          <w:rFonts w:ascii="Times New Roman" w:hAnsi="Times New Roman" w:cs="Times New Roman"/>
          <w:sz w:val="26"/>
          <w:szCs w:val="26"/>
        </w:rPr>
        <w:t xml:space="preserve">just </w:t>
      </w:r>
      <w:r w:rsidR="00197D83" w:rsidRPr="00B9442D">
        <w:rPr>
          <w:rFonts w:ascii="Times New Roman" w:hAnsi="Times New Roman" w:cs="Times New Roman"/>
          <w:sz w:val="26"/>
          <w:szCs w:val="26"/>
        </w:rPr>
        <w:t>arbitra</w:t>
      </w:r>
      <w:r w:rsidR="00484691">
        <w:rPr>
          <w:rFonts w:ascii="Times New Roman" w:hAnsi="Times New Roman" w:cs="Times New Roman"/>
          <w:sz w:val="26"/>
          <w:szCs w:val="26"/>
        </w:rPr>
        <w:t>ri</w:t>
      </w:r>
      <w:r w:rsidR="00197D83" w:rsidRPr="00B9442D">
        <w:rPr>
          <w:rFonts w:ascii="Times New Roman" w:hAnsi="Times New Roman" w:cs="Times New Roman"/>
          <w:sz w:val="26"/>
          <w:szCs w:val="26"/>
        </w:rPr>
        <w:t>ly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 everywhere</w:t>
      </w:r>
      <w:r w:rsidR="00E5383D">
        <w:rPr>
          <w:rFonts w:ascii="Times New Roman" w:hAnsi="Times New Roman" w:cs="Times New Roman"/>
          <w:sz w:val="26"/>
          <w:szCs w:val="26"/>
        </w:rPr>
        <w:t>--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because in Deuteronomy 12:21 </w:t>
      </w:r>
      <w:r w:rsidR="00484691">
        <w:rPr>
          <w:rFonts w:ascii="Times New Roman" w:hAnsi="Times New Roman" w:cs="Times New Roman"/>
          <w:sz w:val="26"/>
          <w:szCs w:val="26"/>
        </w:rPr>
        <w:t xml:space="preserve">it </w:t>
      </w:r>
      <w:r w:rsidR="00885E18" w:rsidRPr="00B9442D">
        <w:rPr>
          <w:rFonts w:ascii="Times New Roman" w:hAnsi="Times New Roman" w:cs="Times New Roman"/>
          <w:sz w:val="26"/>
          <w:szCs w:val="26"/>
        </w:rPr>
        <w:t>says</w:t>
      </w:r>
      <w:r w:rsidR="00484691">
        <w:rPr>
          <w:rFonts w:ascii="Times New Roman" w:hAnsi="Times New Roman" w:cs="Times New Roman"/>
          <w:sz w:val="26"/>
          <w:szCs w:val="26"/>
        </w:rPr>
        <w:t>: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84691">
        <w:rPr>
          <w:rFonts w:ascii="Times New Roman" w:hAnsi="Times New Roman" w:cs="Times New Roman"/>
          <w:sz w:val="26"/>
          <w:szCs w:val="26"/>
        </w:rPr>
        <w:t>“</w:t>
      </w:r>
      <w:r w:rsidR="00E5383D">
        <w:rPr>
          <w:rFonts w:ascii="Times New Roman" w:hAnsi="Times New Roman" w:cs="Times New Roman"/>
          <w:sz w:val="26"/>
          <w:szCs w:val="26"/>
        </w:rPr>
        <w:t>I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f </w:t>
      </w:r>
      <w:r w:rsidR="00885E18" w:rsidRPr="00B9442D">
        <w:rPr>
          <w:rFonts w:ascii="Times New Roman" w:hAnsi="Times New Roman" w:cs="Times New Roman"/>
          <w:sz w:val="26"/>
          <w:szCs w:val="26"/>
        </w:rPr>
        <w:lastRenderedPageBreak/>
        <w:t xml:space="preserve">the 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place which </w:t>
      </w:r>
      <w:r w:rsidR="00E5383D">
        <w:rPr>
          <w:rFonts w:ascii="Times New Roman" w:hAnsi="Times New Roman" w:cs="Times New Roman"/>
          <w:sz w:val="26"/>
          <w:szCs w:val="26"/>
        </w:rPr>
        <w:t xml:space="preserve">the 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Lord thy God has chosen to put his name there </w:t>
      </w:r>
      <w:r w:rsidR="00C36CDF">
        <w:rPr>
          <w:rFonts w:ascii="Times New Roman" w:hAnsi="Times New Roman" w:cs="Times New Roman"/>
          <w:sz w:val="26"/>
          <w:szCs w:val="26"/>
        </w:rPr>
        <w:t>is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far from thee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 then th</w:t>
      </w:r>
      <w:r w:rsidR="00E5383D">
        <w:rPr>
          <w:rFonts w:ascii="Times New Roman" w:hAnsi="Times New Roman" w:cs="Times New Roman"/>
          <w:sz w:val="26"/>
          <w:szCs w:val="26"/>
        </w:rPr>
        <w:t>ou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 shall kil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l of thy herd and thy flock which the Lord </w:t>
      </w:r>
      <w:r w:rsidR="00E5383D">
        <w:rPr>
          <w:rFonts w:ascii="Times New Roman" w:hAnsi="Times New Roman" w:cs="Times New Roman"/>
          <w:sz w:val="26"/>
          <w:szCs w:val="26"/>
        </w:rPr>
        <w:t xml:space="preserve">has </w:t>
      </w:r>
      <w:r w:rsidR="00197D83" w:rsidRPr="00B9442D">
        <w:rPr>
          <w:rFonts w:ascii="Times New Roman" w:hAnsi="Times New Roman" w:cs="Times New Roman"/>
          <w:sz w:val="26"/>
          <w:szCs w:val="26"/>
        </w:rPr>
        <w:t>given thee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and commanded thee </w:t>
      </w:r>
      <w:r w:rsidR="00885E18" w:rsidRPr="00B9442D">
        <w:rPr>
          <w:rFonts w:ascii="Times New Roman" w:hAnsi="Times New Roman" w:cs="Times New Roman"/>
          <w:sz w:val="26"/>
          <w:szCs w:val="26"/>
        </w:rPr>
        <w:t>and thou shall eat in thy gate whatsoever thy soul desire</w:t>
      </w:r>
      <w:r w:rsidR="00484691">
        <w:rPr>
          <w:rFonts w:ascii="Times New Roman" w:hAnsi="Times New Roman" w:cs="Times New Roman"/>
          <w:sz w:val="26"/>
          <w:szCs w:val="26"/>
        </w:rPr>
        <w:t>s</w:t>
      </w:r>
      <w:r w:rsidR="00885E18" w:rsidRPr="00B9442D">
        <w:rPr>
          <w:rFonts w:ascii="Times New Roman" w:hAnsi="Times New Roman" w:cs="Times New Roman"/>
          <w:sz w:val="26"/>
          <w:szCs w:val="26"/>
        </w:rPr>
        <w:t>.</w:t>
      </w:r>
      <w:r w:rsidR="00484691">
        <w:rPr>
          <w:rFonts w:ascii="Times New Roman" w:hAnsi="Times New Roman" w:cs="Times New Roman"/>
          <w:sz w:val="26"/>
          <w:szCs w:val="26"/>
        </w:rPr>
        <w:t>”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 In other word</w:t>
      </w:r>
      <w:r w:rsidR="00484691">
        <w:rPr>
          <w:rFonts w:ascii="Times New Roman" w:hAnsi="Times New Roman" w:cs="Times New Roman"/>
          <w:sz w:val="26"/>
          <w:szCs w:val="26"/>
        </w:rPr>
        <w:t>s,</w:t>
      </w:r>
      <w:r w:rsidR="00885E18" w:rsidRPr="00B9442D">
        <w:rPr>
          <w:rFonts w:ascii="Times New Roman" w:hAnsi="Times New Roman" w:cs="Times New Roman"/>
          <w:sz w:val="26"/>
          <w:szCs w:val="26"/>
        </w:rPr>
        <w:t xml:space="preserve"> animals can be killed or eaten in places other than</w:t>
      </w:r>
      <w:r w:rsidR="007C6190" w:rsidRPr="00B9442D">
        <w:rPr>
          <w:rFonts w:ascii="Times New Roman" w:hAnsi="Times New Roman" w:cs="Times New Roman"/>
          <w:sz w:val="26"/>
          <w:szCs w:val="26"/>
        </w:rPr>
        <w:t xml:space="preserve"> going into the sanctuary to slaughter animals. </w:t>
      </w:r>
      <w:r w:rsidR="006C25FA" w:rsidRPr="00B9442D">
        <w:rPr>
          <w:rFonts w:ascii="Times New Roman" w:hAnsi="Times New Roman" w:cs="Times New Roman"/>
          <w:sz w:val="26"/>
          <w:szCs w:val="26"/>
        </w:rPr>
        <w:t>Distance might make that impractical</w:t>
      </w:r>
      <w:r w:rsidR="00484691">
        <w:rPr>
          <w:rFonts w:ascii="Times New Roman" w:hAnsi="Times New Roman" w:cs="Times New Roman"/>
          <w:sz w:val="26"/>
          <w:szCs w:val="26"/>
        </w:rPr>
        <w:t xml:space="preserve">. So 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it sounds like </w:t>
      </w:r>
      <w:r w:rsidR="00E5383D">
        <w:rPr>
          <w:rFonts w:ascii="Times New Roman" w:hAnsi="Times New Roman" w:cs="Times New Roman"/>
          <w:sz w:val="26"/>
          <w:szCs w:val="26"/>
        </w:rPr>
        <w:t>altars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 weren’t just anywhere throughout the land there was some restriction 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in </w:t>
      </w:r>
      <w:r w:rsidR="006C25FA" w:rsidRPr="00B9442D">
        <w:rPr>
          <w:rFonts w:ascii="Times New Roman" w:hAnsi="Times New Roman" w:cs="Times New Roman"/>
          <w:sz w:val="26"/>
          <w:szCs w:val="26"/>
        </w:rPr>
        <w:t>connection with the Lord</w:t>
      </w:r>
      <w:r w:rsidR="00C36CDF">
        <w:rPr>
          <w:rFonts w:ascii="Times New Roman" w:hAnsi="Times New Roman" w:cs="Times New Roman"/>
          <w:sz w:val="26"/>
          <w:szCs w:val="26"/>
        </w:rPr>
        <w:t>’s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 designation </w:t>
      </w:r>
      <w:r w:rsidR="00197D83" w:rsidRPr="00B9442D">
        <w:rPr>
          <w:rFonts w:ascii="Times New Roman" w:hAnsi="Times New Roman" w:cs="Times New Roman"/>
          <w:sz w:val="26"/>
          <w:szCs w:val="26"/>
        </w:rPr>
        <w:t>of certain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 places but not restrict</w:t>
      </w:r>
      <w:r w:rsidR="00C36CDF">
        <w:rPr>
          <w:rFonts w:ascii="Times New Roman" w:hAnsi="Times New Roman" w:cs="Times New Roman"/>
          <w:sz w:val="26"/>
          <w:szCs w:val="26"/>
        </w:rPr>
        <w:t>ed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 to a </w:t>
      </w:r>
      <w:r w:rsidR="00367727">
        <w:rPr>
          <w:rFonts w:ascii="Times New Roman" w:hAnsi="Times New Roman" w:cs="Times New Roman"/>
          <w:sz w:val="26"/>
          <w:szCs w:val="26"/>
        </w:rPr>
        <w:t>central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 sanctuary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with all the </w:t>
      </w:r>
      <w:r w:rsidR="00C36CDF">
        <w:rPr>
          <w:rFonts w:ascii="Times New Roman" w:hAnsi="Times New Roman" w:cs="Times New Roman"/>
          <w:sz w:val="26"/>
          <w:szCs w:val="26"/>
        </w:rPr>
        <w:t xml:space="preserve">other </w:t>
      </w:r>
      <w:r w:rsidR="00197D83" w:rsidRPr="00B9442D">
        <w:rPr>
          <w:rFonts w:ascii="Times New Roman" w:hAnsi="Times New Roman" w:cs="Times New Roman"/>
          <w:sz w:val="26"/>
          <w:szCs w:val="26"/>
        </w:rPr>
        <w:t>alt</w:t>
      </w:r>
      <w:r w:rsidR="00367727">
        <w:rPr>
          <w:rFonts w:ascii="Times New Roman" w:hAnsi="Times New Roman" w:cs="Times New Roman"/>
          <w:sz w:val="26"/>
          <w:szCs w:val="26"/>
        </w:rPr>
        <w:t>a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rs </w:t>
      </w:r>
      <w:r w:rsidR="00C36CDF">
        <w:rPr>
          <w:rFonts w:ascii="Times New Roman" w:hAnsi="Times New Roman" w:cs="Times New Roman"/>
          <w:sz w:val="26"/>
          <w:szCs w:val="26"/>
        </w:rPr>
        <w:t xml:space="preserve">being </w:t>
      </w:r>
      <w:r w:rsidR="00367727">
        <w:rPr>
          <w:rFonts w:ascii="Times New Roman" w:hAnsi="Times New Roman" w:cs="Times New Roman"/>
          <w:sz w:val="26"/>
          <w:szCs w:val="26"/>
        </w:rPr>
        <w:t>illegal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. </w:t>
      </w:r>
      <w:r w:rsidR="00197D83" w:rsidRPr="00B9442D">
        <w:rPr>
          <w:rFonts w:ascii="Times New Roman" w:hAnsi="Times New Roman" w:cs="Times New Roman"/>
          <w:sz w:val="26"/>
          <w:szCs w:val="26"/>
        </w:rPr>
        <w:t>So God provided many alt</w:t>
      </w:r>
      <w:r w:rsidR="00367727">
        <w:rPr>
          <w:rFonts w:ascii="Times New Roman" w:hAnsi="Times New Roman" w:cs="Times New Roman"/>
          <w:sz w:val="26"/>
          <w:szCs w:val="26"/>
        </w:rPr>
        <w:t>a</w:t>
      </w:r>
      <w:r w:rsidR="00197D83" w:rsidRPr="00B9442D">
        <w:rPr>
          <w:rFonts w:ascii="Times New Roman" w:hAnsi="Times New Roman" w:cs="Times New Roman"/>
          <w:sz w:val="26"/>
          <w:szCs w:val="26"/>
        </w:rPr>
        <w:t>rs to keep all his people</w:t>
      </w:r>
      <w:r w:rsidR="007C6190" w:rsidRPr="00B9442D">
        <w:rPr>
          <w:rFonts w:ascii="Times New Roman" w:hAnsi="Times New Roman" w:cs="Times New Roman"/>
          <w:sz w:val="26"/>
          <w:szCs w:val="26"/>
        </w:rPr>
        <w:t xml:space="preserve"> from the temptation </w:t>
      </w:r>
      <w:r w:rsidR="00E5383D">
        <w:rPr>
          <w:rFonts w:ascii="Times New Roman" w:hAnsi="Times New Roman" w:cs="Times New Roman"/>
          <w:sz w:val="26"/>
          <w:szCs w:val="26"/>
        </w:rPr>
        <w:t xml:space="preserve">of </w:t>
      </w:r>
      <w:proofErr w:type="spellStart"/>
      <w:r w:rsidR="00E5383D">
        <w:rPr>
          <w:rFonts w:ascii="Times New Roman" w:hAnsi="Times New Roman" w:cs="Times New Roman"/>
          <w:sz w:val="26"/>
          <w:szCs w:val="26"/>
        </w:rPr>
        <w:t>Caananite</w:t>
      </w:r>
      <w:proofErr w:type="spellEnd"/>
      <w:r w:rsidR="00E5383D">
        <w:rPr>
          <w:rFonts w:ascii="Times New Roman" w:hAnsi="Times New Roman" w:cs="Times New Roman"/>
          <w:sz w:val="26"/>
          <w:szCs w:val="26"/>
        </w:rPr>
        <w:t xml:space="preserve"> worship </w:t>
      </w:r>
      <w:r w:rsidR="007C6190" w:rsidRPr="00B9442D">
        <w:rPr>
          <w:rFonts w:ascii="Times New Roman" w:hAnsi="Times New Roman" w:cs="Times New Roman"/>
          <w:sz w:val="26"/>
          <w:szCs w:val="26"/>
        </w:rPr>
        <w:t xml:space="preserve">all around them and to keep them in fellowship 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according to the provision in the sacrificial system </w:t>
      </w:r>
      <w:r w:rsidR="00E5383D">
        <w:rPr>
          <w:rFonts w:ascii="Times New Roman" w:hAnsi="Times New Roman" w:cs="Times New Roman"/>
          <w:sz w:val="26"/>
          <w:szCs w:val="26"/>
        </w:rPr>
        <w:t>that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the Lord had made</w:t>
      </w:r>
      <w:r w:rsidR="007C6190" w:rsidRPr="00B9442D">
        <w:rPr>
          <w:rFonts w:ascii="Times New Roman" w:hAnsi="Times New Roman" w:cs="Times New Roman"/>
          <w:sz w:val="26"/>
          <w:szCs w:val="26"/>
        </w:rPr>
        <w:t xml:space="preserve"> without making that system almost impossible</w:t>
      </w:r>
      <w:r w:rsidR="00701591" w:rsidRPr="00B9442D">
        <w:rPr>
          <w:rFonts w:ascii="Times New Roman" w:hAnsi="Times New Roman" w:cs="Times New Roman"/>
          <w:sz w:val="26"/>
          <w:szCs w:val="26"/>
        </w:rPr>
        <w:t xml:space="preserve"> to follow because of the </w:t>
      </w:r>
      <w:r w:rsidR="00367727">
        <w:rPr>
          <w:rFonts w:ascii="Times New Roman" w:hAnsi="Times New Roman" w:cs="Times New Roman"/>
          <w:sz w:val="26"/>
          <w:szCs w:val="26"/>
        </w:rPr>
        <w:t xml:space="preserve">extreme </w:t>
      </w:r>
      <w:r w:rsidR="00701591" w:rsidRPr="00B9442D">
        <w:rPr>
          <w:rFonts w:ascii="Times New Roman" w:hAnsi="Times New Roman" w:cs="Times New Roman"/>
          <w:sz w:val="26"/>
          <w:szCs w:val="26"/>
        </w:rPr>
        <w:t>di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stances.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  <w:t xml:space="preserve">8. Manley’s </w:t>
      </w:r>
      <w:proofErr w:type="spellStart"/>
      <w:r w:rsidR="001A0503">
        <w:rPr>
          <w:rFonts w:ascii="Times New Roman" w:hAnsi="Times New Roman" w:cs="Times New Roman"/>
          <w:sz w:val="26"/>
          <w:szCs w:val="26"/>
        </w:rPr>
        <w:t>Conclusino</w:t>
      </w:r>
      <w:proofErr w:type="spellEnd"/>
      <w:r w:rsidR="001A0503">
        <w:rPr>
          <w:rFonts w:ascii="Times New Roman" w:hAnsi="Times New Roman" w:cs="Times New Roman"/>
          <w:sz w:val="26"/>
          <w:szCs w:val="26"/>
        </w:rPr>
        <w:t>:  Not Number of Altars but Their Character</w:t>
      </w:r>
      <w:r w:rsidR="00367727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ab/>
      </w:r>
      <w:r w:rsidR="00E5383D">
        <w:rPr>
          <w:rFonts w:ascii="Times New Roman" w:hAnsi="Times New Roman" w:cs="Times New Roman"/>
          <w:sz w:val="26"/>
          <w:szCs w:val="26"/>
        </w:rPr>
        <w:t>B</w:t>
      </w:r>
      <w:r w:rsidR="00197D83" w:rsidRPr="00B9442D">
        <w:rPr>
          <w:rFonts w:ascii="Times New Roman" w:hAnsi="Times New Roman" w:cs="Times New Roman"/>
          <w:sz w:val="26"/>
          <w:szCs w:val="26"/>
        </w:rPr>
        <w:t>asically</w:t>
      </w:r>
      <w:r w:rsidR="00E5383D">
        <w:rPr>
          <w:rFonts w:ascii="Times New Roman" w:hAnsi="Times New Roman" w:cs="Times New Roman"/>
          <w:sz w:val="26"/>
          <w:szCs w:val="26"/>
        </w:rPr>
        <w:t>,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that </w:t>
      </w:r>
      <w:r w:rsidR="00C36CDF"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 w:rsidR="00367727">
        <w:rPr>
          <w:rFonts w:ascii="Times New Roman" w:hAnsi="Times New Roman" w:cs="Times New Roman"/>
          <w:sz w:val="26"/>
          <w:szCs w:val="26"/>
        </w:rPr>
        <w:t>Halwarda</w:t>
      </w:r>
      <w:r w:rsidR="00C36CDF">
        <w:rPr>
          <w:rFonts w:ascii="Times New Roman" w:hAnsi="Times New Roman" w:cs="Times New Roman"/>
          <w:sz w:val="26"/>
          <w:szCs w:val="26"/>
        </w:rPr>
        <w:t>’s</w:t>
      </w:r>
      <w:proofErr w:type="spellEnd"/>
      <w:r w:rsidR="00367727">
        <w:rPr>
          <w:rFonts w:ascii="Times New Roman" w:hAnsi="Times New Roman" w:cs="Times New Roman"/>
          <w:sz w:val="26"/>
          <w:szCs w:val="26"/>
        </w:rPr>
        <w:t xml:space="preserve"> view</w:t>
      </w:r>
      <w:r w:rsidR="00E5383D">
        <w:rPr>
          <w:rFonts w:ascii="Times New Roman" w:hAnsi="Times New Roman" w:cs="Times New Roman"/>
          <w:sz w:val="26"/>
          <w:szCs w:val="26"/>
        </w:rPr>
        <w:t>.</w:t>
      </w:r>
      <w:r w:rsidR="0070159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>I’d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say</w:t>
      </w:r>
      <w:r w:rsidR="00701591" w:rsidRPr="00B9442D">
        <w:rPr>
          <w:rFonts w:ascii="Times New Roman" w:hAnsi="Times New Roman" w:cs="Times New Roman"/>
          <w:sz w:val="26"/>
          <w:szCs w:val="26"/>
        </w:rPr>
        <w:t xml:space="preserve"> you find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roughly the same</w:t>
      </w:r>
      <w:r w:rsidR="0070159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6C25FA" w:rsidRPr="00B9442D">
        <w:rPr>
          <w:rFonts w:ascii="Times New Roman" w:hAnsi="Times New Roman" w:cs="Times New Roman"/>
          <w:sz w:val="26"/>
          <w:szCs w:val="26"/>
        </w:rPr>
        <w:t xml:space="preserve">position 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in Thompson when we read </w:t>
      </w:r>
      <w:r w:rsidR="00764D12" w:rsidRPr="00B9442D">
        <w:rPr>
          <w:rFonts w:ascii="Times New Roman" w:hAnsi="Times New Roman" w:cs="Times New Roman"/>
          <w:sz w:val="26"/>
          <w:szCs w:val="26"/>
        </w:rPr>
        <w:t>his commentary and his introduction</w:t>
      </w:r>
      <w:r w:rsidR="00367727">
        <w:rPr>
          <w:rFonts w:ascii="Times New Roman" w:hAnsi="Times New Roman" w:cs="Times New Roman"/>
          <w:sz w:val="26"/>
          <w:szCs w:val="26"/>
        </w:rPr>
        <w:t xml:space="preserve">. If you </w:t>
      </w:r>
      <w:r w:rsidR="00701591" w:rsidRPr="00B9442D">
        <w:rPr>
          <w:rFonts w:ascii="Times New Roman" w:hAnsi="Times New Roman" w:cs="Times New Roman"/>
          <w:sz w:val="26"/>
          <w:szCs w:val="26"/>
        </w:rPr>
        <w:t xml:space="preserve">want also to see </w:t>
      </w:r>
      <w:r w:rsidR="004756C6">
        <w:rPr>
          <w:rFonts w:ascii="Times New Roman" w:hAnsi="Times New Roman" w:cs="Times New Roman"/>
          <w:sz w:val="26"/>
          <w:szCs w:val="26"/>
        </w:rPr>
        <w:t xml:space="preserve">a </w:t>
      </w:r>
      <w:r w:rsidR="006C25FA" w:rsidRPr="00B9442D">
        <w:rPr>
          <w:rFonts w:ascii="Times New Roman" w:hAnsi="Times New Roman" w:cs="Times New Roman"/>
          <w:sz w:val="26"/>
          <w:szCs w:val="26"/>
        </w:rPr>
        <w:t>very similar viewpoint</w:t>
      </w:r>
      <w:r w:rsidR="00367727">
        <w:rPr>
          <w:rFonts w:ascii="Times New Roman" w:hAnsi="Times New Roman" w:cs="Times New Roman"/>
          <w:sz w:val="26"/>
          <w:szCs w:val="26"/>
        </w:rPr>
        <w:t>,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E5383D">
        <w:rPr>
          <w:rFonts w:ascii="Times New Roman" w:hAnsi="Times New Roman" w:cs="Times New Roman"/>
          <w:sz w:val="26"/>
          <w:szCs w:val="26"/>
        </w:rPr>
        <w:t xml:space="preserve">there’s </w:t>
      </w:r>
      <w:r w:rsidR="00197D83" w:rsidRPr="00B9442D">
        <w:rPr>
          <w:rFonts w:ascii="Times New Roman" w:hAnsi="Times New Roman" w:cs="Times New Roman"/>
          <w:sz w:val="26"/>
          <w:szCs w:val="26"/>
        </w:rPr>
        <w:t>Ma</w:t>
      </w:r>
      <w:r w:rsidR="00701591" w:rsidRPr="00B9442D">
        <w:rPr>
          <w:rFonts w:ascii="Times New Roman" w:hAnsi="Times New Roman" w:cs="Times New Roman"/>
          <w:sz w:val="26"/>
          <w:szCs w:val="26"/>
        </w:rPr>
        <w:t>nl</w:t>
      </w:r>
      <w:r w:rsidR="00764D12" w:rsidRPr="00B9442D">
        <w:rPr>
          <w:rFonts w:ascii="Times New Roman" w:hAnsi="Times New Roman" w:cs="Times New Roman"/>
          <w:sz w:val="26"/>
          <w:szCs w:val="26"/>
        </w:rPr>
        <w:t>e</w:t>
      </w:r>
      <w:r w:rsidR="00701591" w:rsidRPr="00B9442D">
        <w:rPr>
          <w:rFonts w:ascii="Times New Roman" w:hAnsi="Times New Roman" w:cs="Times New Roman"/>
          <w:sz w:val="26"/>
          <w:szCs w:val="26"/>
        </w:rPr>
        <w:t>y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701591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T</w:t>
      </w:r>
      <w:r w:rsidR="00701591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he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B</w:t>
      </w:r>
      <w:r w:rsidR="00701591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ook of the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L</w:t>
      </w:r>
      <w:r w:rsidR="00701591" w:rsidRPr="00367727">
        <w:rPr>
          <w:rFonts w:ascii="Times New Roman" w:hAnsi="Times New Roman" w:cs="Times New Roman"/>
          <w:i/>
          <w:iCs/>
          <w:sz w:val="26"/>
          <w:szCs w:val="26"/>
        </w:rPr>
        <w:t>aw</w:t>
      </w:r>
      <w:r w:rsidR="0070159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that I </w:t>
      </w:r>
      <w:r w:rsidR="00367727">
        <w:rPr>
          <w:rFonts w:ascii="Times New Roman" w:hAnsi="Times New Roman" w:cs="Times New Roman"/>
          <w:sz w:val="26"/>
          <w:szCs w:val="26"/>
        </w:rPr>
        <w:t xml:space="preserve">have asked the </w:t>
      </w:r>
      <w:r w:rsidR="00A33036" w:rsidRPr="00B9442D">
        <w:rPr>
          <w:rFonts w:ascii="Times New Roman" w:hAnsi="Times New Roman" w:cs="Times New Roman"/>
          <w:sz w:val="26"/>
          <w:szCs w:val="26"/>
        </w:rPr>
        <w:t>grad</w:t>
      </w:r>
      <w:r w:rsidR="00367727">
        <w:rPr>
          <w:rFonts w:ascii="Times New Roman" w:hAnsi="Times New Roman" w:cs="Times New Roman"/>
          <w:sz w:val="26"/>
          <w:szCs w:val="26"/>
        </w:rPr>
        <w:t>uate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students to read</w:t>
      </w:r>
      <w:r w:rsidR="00F93B9E">
        <w:rPr>
          <w:rFonts w:ascii="Times New Roman" w:hAnsi="Times New Roman" w:cs="Times New Roman"/>
          <w:sz w:val="26"/>
          <w:szCs w:val="26"/>
        </w:rPr>
        <w:t xml:space="preserve">. </w:t>
      </w:r>
      <w:r w:rsidR="0070159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756C6">
        <w:rPr>
          <w:rFonts w:ascii="Times New Roman" w:hAnsi="Times New Roman" w:cs="Times New Roman"/>
          <w:sz w:val="26"/>
          <w:szCs w:val="26"/>
        </w:rPr>
        <w:t xml:space="preserve">Manley </w:t>
      </w:r>
      <w:r w:rsidR="00701591" w:rsidRPr="00B9442D">
        <w:rPr>
          <w:rFonts w:ascii="Times New Roman" w:hAnsi="Times New Roman" w:cs="Times New Roman"/>
          <w:sz w:val="26"/>
          <w:szCs w:val="26"/>
        </w:rPr>
        <w:t>has a whole chapter on this and basically he comes to the same conclus</w:t>
      </w:r>
      <w:r w:rsidR="00197D83" w:rsidRPr="00B9442D">
        <w:rPr>
          <w:rFonts w:ascii="Times New Roman" w:hAnsi="Times New Roman" w:cs="Times New Roman"/>
          <w:sz w:val="26"/>
          <w:szCs w:val="26"/>
        </w:rPr>
        <w:t>ion. He says</w:t>
      </w:r>
      <w:r w:rsidR="00367727">
        <w:rPr>
          <w:rFonts w:ascii="Times New Roman" w:hAnsi="Times New Roman" w:cs="Times New Roman"/>
          <w:sz w:val="26"/>
          <w:szCs w:val="26"/>
        </w:rPr>
        <w:t>,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>“T</w:t>
      </w:r>
      <w:r w:rsidR="00197D83" w:rsidRPr="00B9442D">
        <w:rPr>
          <w:rFonts w:ascii="Times New Roman" w:hAnsi="Times New Roman" w:cs="Times New Roman"/>
          <w:sz w:val="26"/>
          <w:szCs w:val="26"/>
        </w:rPr>
        <w:t xml:space="preserve">he centralization 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language use is capable of having </w:t>
      </w:r>
      <w:r w:rsidR="00367727">
        <w:rPr>
          <w:rFonts w:ascii="Times New Roman" w:hAnsi="Times New Roman" w:cs="Times New Roman"/>
          <w:sz w:val="26"/>
          <w:szCs w:val="26"/>
        </w:rPr>
        <w:t xml:space="preserve">this </w:t>
      </w:r>
      <w:r w:rsidR="00567389" w:rsidRPr="00B9442D">
        <w:rPr>
          <w:rFonts w:ascii="Times New Roman" w:hAnsi="Times New Roman" w:cs="Times New Roman"/>
          <w:sz w:val="26"/>
          <w:szCs w:val="26"/>
        </w:rPr>
        <w:t>interpreta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tion read out of </w:t>
      </w:r>
      <w:r w:rsidR="00367727">
        <w:rPr>
          <w:rFonts w:ascii="Times New Roman" w:hAnsi="Times New Roman" w:cs="Times New Roman"/>
          <w:sz w:val="26"/>
          <w:szCs w:val="26"/>
        </w:rPr>
        <w:t>or into it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. The real </w:t>
      </w:r>
      <w:r w:rsidR="004756C6">
        <w:rPr>
          <w:rFonts w:ascii="Times New Roman" w:hAnsi="Times New Roman" w:cs="Times New Roman"/>
          <w:sz w:val="26"/>
          <w:szCs w:val="26"/>
        </w:rPr>
        <w:t xml:space="preserve">focus </w:t>
      </w:r>
      <w:r w:rsidR="00567389" w:rsidRPr="00B9442D">
        <w:rPr>
          <w:rFonts w:ascii="Times New Roman" w:hAnsi="Times New Roman" w:cs="Times New Roman"/>
          <w:sz w:val="26"/>
          <w:szCs w:val="26"/>
        </w:rPr>
        <w:t>in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756C6">
        <w:rPr>
          <w:rFonts w:ascii="Times New Roman" w:hAnsi="Times New Roman" w:cs="Times New Roman"/>
          <w:sz w:val="26"/>
          <w:szCs w:val="26"/>
        </w:rPr>
        <w:t xml:space="preserve">the </w:t>
      </w:r>
      <w:r w:rsidR="00A33036" w:rsidRPr="00B9442D">
        <w:rPr>
          <w:rFonts w:ascii="Times New Roman" w:hAnsi="Times New Roman" w:cs="Times New Roman"/>
          <w:sz w:val="26"/>
          <w:szCs w:val="26"/>
        </w:rPr>
        <w:t>cont</w:t>
      </w:r>
      <w:r w:rsidR="00367727">
        <w:rPr>
          <w:rFonts w:ascii="Times New Roman" w:hAnsi="Times New Roman" w:cs="Times New Roman"/>
          <w:sz w:val="26"/>
          <w:szCs w:val="26"/>
        </w:rPr>
        <w:t>ext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756C6">
        <w:rPr>
          <w:rFonts w:ascii="Times New Roman" w:hAnsi="Times New Roman" w:cs="Times New Roman"/>
          <w:sz w:val="26"/>
          <w:szCs w:val="26"/>
        </w:rPr>
        <w:t xml:space="preserve">of Deuteronomy 12 is </w:t>
      </w:r>
      <w:r w:rsidR="00567389" w:rsidRPr="00B9442D">
        <w:rPr>
          <w:rFonts w:ascii="Times New Roman" w:hAnsi="Times New Roman" w:cs="Times New Roman"/>
          <w:sz w:val="26"/>
          <w:szCs w:val="26"/>
        </w:rPr>
        <w:t>not between many YAHWEH alt</w:t>
      </w:r>
      <w:r w:rsidR="00367727">
        <w:rPr>
          <w:rFonts w:ascii="Times New Roman" w:hAnsi="Times New Roman" w:cs="Times New Roman"/>
          <w:sz w:val="26"/>
          <w:szCs w:val="26"/>
        </w:rPr>
        <w:t>a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rs </w:t>
      </w:r>
      <w:r w:rsidR="004756C6">
        <w:rPr>
          <w:rFonts w:ascii="Times New Roman" w:hAnsi="Times New Roman" w:cs="Times New Roman"/>
          <w:sz w:val="26"/>
          <w:szCs w:val="26"/>
        </w:rPr>
        <w:t>and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one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CB567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567389" w:rsidRPr="00B9442D">
        <w:rPr>
          <w:rFonts w:ascii="Times New Roman" w:hAnsi="Times New Roman" w:cs="Times New Roman"/>
          <w:sz w:val="26"/>
          <w:szCs w:val="26"/>
        </w:rPr>
        <w:t>but betwee</w:t>
      </w:r>
      <w:r w:rsidR="00A33036" w:rsidRPr="00B9442D">
        <w:rPr>
          <w:rFonts w:ascii="Times New Roman" w:hAnsi="Times New Roman" w:cs="Times New Roman"/>
          <w:sz w:val="26"/>
          <w:szCs w:val="26"/>
        </w:rPr>
        <w:t>n those of the Canaanites and to other gods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whose name is to be destroyed and the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place and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name of the place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of where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YAHWEH shall abide</w:t>
      </w:r>
      <w:r w:rsidR="00367727">
        <w:rPr>
          <w:rFonts w:ascii="Times New Roman" w:hAnsi="Times New Roman" w:cs="Times New Roman"/>
          <w:sz w:val="26"/>
          <w:szCs w:val="26"/>
        </w:rPr>
        <w:t xml:space="preserve">.”  </w:t>
      </w:r>
      <w:r w:rsidR="00567389" w:rsidRPr="00B9442D">
        <w:rPr>
          <w:rFonts w:ascii="Times New Roman" w:hAnsi="Times New Roman" w:cs="Times New Roman"/>
          <w:sz w:val="26"/>
          <w:szCs w:val="26"/>
        </w:rPr>
        <w:t>It is not the</w:t>
      </w:r>
      <w:r w:rsidR="004756C6">
        <w:rPr>
          <w:rFonts w:ascii="Times New Roman" w:hAnsi="Times New Roman" w:cs="Times New Roman"/>
          <w:sz w:val="26"/>
          <w:szCs w:val="26"/>
        </w:rPr>
        <w:t>i</w:t>
      </w:r>
      <w:r w:rsidR="00567389" w:rsidRPr="00B9442D">
        <w:rPr>
          <w:rFonts w:ascii="Times New Roman" w:hAnsi="Times New Roman" w:cs="Times New Roman"/>
          <w:sz w:val="26"/>
          <w:szCs w:val="26"/>
        </w:rPr>
        <w:t>r number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764D12" w:rsidRPr="00B9442D">
        <w:rPr>
          <w:rFonts w:ascii="Times New Roman" w:hAnsi="Times New Roman" w:cs="Times New Roman"/>
          <w:sz w:val="26"/>
          <w:szCs w:val="26"/>
        </w:rPr>
        <w:t>but their character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764D12" w:rsidRPr="00B9442D">
        <w:rPr>
          <w:rFonts w:ascii="Times New Roman" w:hAnsi="Times New Roman" w:cs="Times New Roman"/>
          <w:sz w:val="26"/>
          <w:szCs w:val="26"/>
        </w:rPr>
        <w:t xml:space="preserve"> which is in question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. </w:t>
      </w:r>
      <w:r w:rsidR="00367727">
        <w:rPr>
          <w:rFonts w:ascii="Times New Roman" w:hAnsi="Times New Roman" w:cs="Times New Roman"/>
          <w:sz w:val="26"/>
          <w:szCs w:val="26"/>
        </w:rPr>
        <w:t>“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Whether the words be </w:t>
      </w:r>
      <w:r w:rsidR="009C18CA" w:rsidRPr="00B9442D">
        <w:rPr>
          <w:rFonts w:ascii="Times New Roman" w:hAnsi="Times New Roman" w:cs="Times New Roman"/>
          <w:sz w:val="26"/>
          <w:szCs w:val="26"/>
        </w:rPr>
        <w:t>read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according to one center or more than one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they do not exclude the possibility of </w:t>
      </w:r>
      <w:r w:rsidR="00A33036" w:rsidRPr="00B9442D">
        <w:rPr>
          <w:rFonts w:ascii="Times New Roman" w:hAnsi="Times New Roman" w:cs="Times New Roman"/>
          <w:sz w:val="26"/>
          <w:szCs w:val="26"/>
        </w:rPr>
        <w:t>other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alt</w:t>
      </w:r>
      <w:r w:rsidR="00367727">
        <w:rPr>
          <w:rFonts w:ascii="Times New Roman" w:hAnsi="Times New Roman" w:cs="Times New Roman"/>
          <w:sz w:val="26"/>
          <w:szCs w:val="26"/>
        </w:rPr>
        <w:t>a</w:t>
      </w:r>
      <w:r w:rsidR="00567389" w:rsidRPr="00B9442D">
        <w:rPr>
          <w:rFonts w:ascii="Times New Roman" w:hAnsi="Times New Roman" w:cs="Times New Roman"/>
          <w:sz w:val="26"/>
          <w:szCs w:val="26"/>
        </w:rPr>
        <w:t>r</w:t>
      </w:r>
      <w:r w:rsidR="00367727">
        <w:rPr>
          <w:rFonts w:ascii="Times New Roman" w:hAnsi="Times New Roman" w:cs="Times New Roman"/>
          <w:sz w:val="26"/>
          <w:szCs w:val="26"/>
        </w:rPr>
        <w:t>s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 xml:space="preserve">dully </w:t>
      </w:r>
      <w:r w:rsidR="00A33036" w:rsidRPr="00B9442D">
        <w:rPr>
          <w:rFonts w:ascii="Times New Roman" w:hAnsi="Times New Roman" w:cs="Times New Roman"/>
          <w:sz w:val="26"/>
          <w:szCs w:val="26"/>
        </w:rPr>
        <w:t>authorize</w:t>
      </w:r>
      <w:r w:rsidR="00367727">
        <w:rPr>
          <w:rFonts w:ascii="Times New Roman" w:hAnsi="Times New Roman" w:cs="Times New Roman"/>
          <w:sz w:val="26"/>
          <w:szCs w:val="26"/>
        </w:rPr>
        <w:t>d</w:t>
      </w:r>
      <w:r w:rsidR="00567389" w:rsidRPr="00B9442D">
        <w:rPr>
          <w:rFonts w:ascii="Times New Roman" w:hAnsi="Times New Roman" w:cs="Times New Roman"/>
          <w:sz w:val="26"/>
          <w:szCs w:val="26"/>
        </w:rPr>
        <w:t>.  Deuteronomy 16</w:t>
      </w:r>
      <w:r w:rsidR="00764D12" w:rsidRPr="00B9442D">
        <w:rPr>
          <w:rFonts w:ascii="Times New Roman" w:hAnsi="Times New Roman" w:cs="Times New Roman"/>
          <w:sz w:val="26"/>
          <w:szCs w:val="26"/>
        </w:rPr>
        <w:t>:21,</w:t>
      </w:r>
      <w:r w:rsidR="00367727">
        <w:rPr>
          <w:rFonts w:ascii="Times New Roman" w:hAnsi="Times New Roman" w:cs="Times New Roman"/>
          <w:sz w:val="26"/>
          <w:szCs w:val="26"/>
        </w:rPr>
        <w:t xml:space="preserve"> 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22 </w:t>
      </w:r>
      <w:r w:rsidR="00764D12" w:rsidRPr="00B9442D">
        <w:rPr>
          <w:rFonts w:ascii="Times New Roman" w:hAnsi="Times New Roman" w:cs="Times New Roman"/>
          <w:sz w:val="26"/>
          <w:szCs w:val="26"/>
        </w:rPr>
        <w:lastRenderedPageBreak/>
        <w:t>contempla</w:t>
      </w:r>
      <w:r w:rsidR="009C18CA" w:rsidRPr="00B9442D">
        <w:rPr>
          <w:rFonts w:ascii="Times New Roman" w:hAnsi="Times New Roman" w:cs="Times New Roman"/>
          <w:sz w:val="26"/>
          <w:szCs w:val="26"/>
        </w:rPr>
        <w:t>tes</w:t>
      </w:r>
      <w:r w:rsidR="004756C6">
        <w:rPr>
          <w:rFonts w:ascii="Times New Roman" w:hAnsi="Times New Roman" w:cs="Times New Roman"/>
          <w:sz w:val="26"/>
          <w:szCs w:val="26"/>
        </w:rPr>
        <w:t xml:space="preserve"> their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existence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and in </w:t>
      </w:r>
      <w:r w:rsidR="009C18CA" w:rsidRPr="00B9442D">
        <w:rPr>
          <w:rFonts w:ascii="Times New Roman" w:hAnsi="Times New Roman" w:cs="Times New Roman"/>
          <w:sz w:val="26"/>
          <w:szCs w:val="26"/>
        </w:rPr>
        <w:t>Deuteronomy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27 the </w:t>
      </w:r>
      <w:r w:rsidR="00F93B9E">
        <w:rPr>
          <w:rFonts w:ascii="Times New Roman" w:hAnsi="Times New Roman" w:cs="Times New Roman"/>
          <w:sz w:val="26"/>
          <w:szCs w:val="26"/>
        </w:rPr>
        <w:t>building</w:t>
      </w:r>
      <w:r w:rsidR="00A33036" w:rsidRPr="00B9442D">
        <w:rPr>
          <w:rFonts w:ascii="Times New Roman" w:hAnsi="Times New Roman" w:cs="Times New Roman"/>
          <w:sz w:val="26"/>
          <w:szCs w:val="26"/>
        </w:rPr>
        <w:t xml:space="preserve"> of one </w:t>
      </w:r>
      <w:r w:rsidR="00367727">
        <w:rPr>
          <w:rFonts w:ascii="Times New Roman" w:hAnsi="Times New Roman" w:cs="Times New Roman"/>
          <w:sz w:val="26"/>
          <w:szCs w:val="26"/>
        </w:rPr>
        <w:t xml:space="preserve">is </w:t>
      </w:r>
      <w:r w:rsidR="001568DA" w:rsidRPr="00B9442D">
        <w:rPr>
          <w:rFonts w:ascii="Times New Roman" w:hAnsi="Times New Roman" w:cs="Times New Roman"/>
          <w:sz w:val="26"/>
          <w:szCs w:val="26"/>
        </w:rPr>
        <w:t>commanded</w:t>
      </w:r>
      <w:r w:rsidR="00367727">
        <w:rPr>
          <w:rFonts w:ascii="Times New Roman" w:hAnsi="Times New Roman" w:cs="Times New Roman"/>
          <w:sz w:val="26"/>
          <w:szCs w:val="26"/>
        </w:rPr>
        <w:t>. S</w:t>
      </w:r>
      <w:r w:rsidR="001568DA" w:rsidRPr="00B9442D">
        <w:rPr>
          <w:rFonts w:ascii="Times New Roman" w:hAnsi="Times New Roman" w:cs="Times New Roman"/>
          <w:sz w:val="26"/>
          <w:szCs w:val="26"/>
        </w:rPr>
        <w:t>o it</w:t>
      </w:r>
      <w:r w:rsidR="00367727">
        <w:rPr>
          <w:rFonts w:ascii="Times New Roman" w:hAnsi="Times New Roman" w:cs="Times New Roman"/>
          <w:sz w:val="26"/>
          <w:szCs w:val="26"/>
        </w:rPr>
        <w:t>’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s not </w:t>
      </w:r>
      <w:r w:rsidR="009C18CA" w:rsidRPr="00B9442D">
        <w:rPr>
          <w:rFonts w:ascii="Times New Roman" w:hAnsi="Times New Roman" w:cs="Times New Roman"/>
          <w:sz w:val="26"/>
          <w:szCs w:val="26"/>
        </w:rPr>
        <w:t>multiplicity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of alt</w:t>
      </w:r>
      <w:r w:rsidR="00F93B9E">
        <w:rPr>
          <w:rFonts w:ascii="Times New Roman" w:hAnsi="Times New Roman" w:cs="Times New Roman"/>
          <w:sz w:val="26"/>
          <w:szCs w:val="26"/>
        </w:rPr>
        <w:t>a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rs </w:t>
      </w:r>
      <w:r w:rsidR="00F93B9E">
        <w:rPr>
          <w:rFonts w:ascii="Times New Roman" w:hAnsi="Times New Roman" w:cs="Times New Roman"/>
          <w:sz w:val="26"/>
          <w:szCs w:val="26"/>
        </w:rPr>
        <w:t>that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is argued against in Deuteronomy. </w:t>
      </w:r>
      <w:r w:rsidR="00367727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ab/>
        <w:t xml:space="preserve">Another book </w:t>
      </w:r>
      <w:r w:rsidR="00F93B9E">
        <w:rPr>
          <w:rFonts w:ascii="Times New Roman" w:hAnsi="Times New Roman" w:cs="Times New Roman"/>
          <w:sz w:val="26"/>
          <w:szCs w:val="26"/>
        </w:rPr>
        <w:t xml:space="preserve">is </w:t>
      </w:r>
      <w:r w:rsidR="00367727">
        <w:rPr>
          <w:rFonts w:ascii="Times New Roman" w:hAnsi="Times New Roman" w:cs="Times New Roman"/>
          <w:sz w:val="26"/>
          <w:szCs w:val="26"/>
        </w:rPr>
        <w:t>H. M. Segal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, The Pentateuch</w:t>
      </w:r>
      <w:r w:rsidR="004756C6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 Its</w:t>
      </w:r>
      <w:r w:rsidR="001568DA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C</w:t>
      </w:r>
      <w:r w:rsidR="002B62A4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omposition </w:t>
      </w:r>
      <w:r w:rsidR="001568DA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and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="001568DA" w:rsidRPr="00367727">
        <w:rPr>
          <w:rFonts w:ascii="Times New Roman" w:hAnsi="Times New Roman" w:cs="Times New Roman"/>
          <w:i/>
          <w:iCs/>
          <w:sz w:val="26"/>
          <w:szCs w:val="26"/>
        </w:rPr>
        <w:t>uthorship</w:t>
      </w:r>
      <w:r w:rsidR="00F93B9E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F93B9E">
        <w:rPr>
          <w:rFonts w:ascii="Times New Roman" w:hAnsi="Times New Roman" w:cs="Times New Roman"/>
          <w:sz w:val="26"/>
          <w:szCs w:val="26"/>
        </w:rPr>
        <w:t xml:space="preserve">It 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has a chapter on </w:t>
      </w:r>
      <w:r w:rsidR="004756C6">
        <w:rPr>
          <w:rFonts w:ascii="Times New Roman" w:hAnsi="Times New Roman" w:cs="Times New Roman"/>
          <w:sz w:val="26"/>
          <w:szCs w:val="26"/>
        </w:rPr>
        <w:t>the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centralization of worship, page 87 and following. I could read that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but I think our time is just about up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and again it’s ba</w:t>
      </w:r>
      <w:r w:rsidR="002B62A4" w:rsidRPr="00B9442D">
        <w:rPr>
          <w:rFonts w:ascii="Times New Roman" w:hAnsi="Times New Roman" w:cs="Times New Roman"/>
          <w:sz w:val="26"/>
          <w:szCs w:val="26"/>
        </w:rPr>
        <w:t>sically the same conclusion. Ma</w:t>
      </w:r>
      <w:r w:rsidR="001568DA" w:rsidRPr="00B9442D">
        <w:rPr>
          <w:rFonts w:ascii="Times New Roman" w:hAnsi="Times New Roman" w:cs="Times New Roman"/>
          <w:sz w:val="26"/>
          <w:szCs w:val="26"/>
        </w:rPr>
        <w:t>nl</w:t>
      </w:r>
      <w:r w:rsidR="002B62A4" w:rsidRPr="00B9442D">
        <w:rPr>
          <w:rFonts w:ascii="Times New Roman" w:hAnsi="Times New Roman" w:cs="Times New Roman"/>
          <w:sz w:val="26"/>
          <w:szCs w:val="26"/>
        </w:rPr>
        <w:t>e</w:t>
      </w:r>
      <w:r w:rsidR="001568DA" w:rsidRPr="00B9442D">
        <w:rPr>
          <w:rFonts w:ascii="Times New Roman" w:hAnsi="Times New Roman" w:cs="Times New Roman"/>
          <w:sz w:val="26"/>
          <w:szCs w:val="26"/>
        </w:rPr>
        <w:t>y</w:t>
      </w:r>
      <w:r w:rsidR="002B62A4" w:rsidRPr="00B9442D">
        <w:rPr>
          <w:rFonts w:ascii="Times New Roman" w:hAnsi="Times New Roman" w:cs="Times New Roman"/>
          <w:sz w:val="26"/>
          <w:szCs w:val="26"/>
        </w:rPr>
        <w:t>,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Thompson</w:t>
      </w:r>
      <w:r w:rsidR="002B62A4" w:rsidRPr="00B9442D">
        <w:rPr>
          <w:rFonts w:ascii="Times New Roman" w:hAnsi="Times New Roman" w:cs="Times New Roman"/>
          <w:sz w:val="26"/>
          <w:szCs w:val="26"/>
        </w:rPr>
        <w:t xml:space="preserve">, Segal generally </w:t>
      </w:r>
      <w:r w:rsidR="004756C6">
        <w:rPr>
          <w:rFonts w:ascii="Times New Roman" w:hAnsi="Times New Roman" w:cs="Times New Roman"/>
          <w:sz w:val="26"/>
          <w:szCs w:val="26"/>
        </w:rPr>
        <w:t>have the</w:t>
      </w:r>
      <w:r w:rsidR="002B62A4" w:rsidRPr="00B9442D">
        <w:rPr>
          <w:rFonts w:ascii="Times New Roman" w:hAnsi="Times New Roman" w:cs="Times New Roman"/>
          <w:sz w:val="26"/>
          <w:szCs w:val="26"/>
        </w:rPr>
        <w:t xml:space="preserve"> view that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the </w:t>
      </w:r>
      <w:r w:rsidR="009C18CA" w:rsidRPr="00B9442D">
        <w:rPr>
          <w:rFonts w:ascii="Times New Roman" w:hAnsi="Times New Roman" w:cs="Times New Roman"/>
          <w:sz w:val="26"/>
          <w:szCs w:val="26"/>
        </w:rPr>
        <w:t>multiplicity</w:t>
      </w:r>
      <w:r w:rsidR="002B62A4" w:rsidRPr="00B9442D">
        <w:rPr>
          <w:rFonts w:ascii="Times New Roman" w:hAnsi="Times New Roman" w:cs="Times New Roman"/>
          <w:sz w:val="26"/>
          <w:szCs w:val="26"/>
        </w:rPr>
        <w:t xml:space="preserve"> the </w:t>
      </w:r>
      <w:r w:rsidR="001568DA" w:rsidRPr="00B9442D">
        <w:rPr>
          <w:rFonts w:ascii="Times New Roman" w:hAnsi="Times New Roman" w:cs="Times New Roman"/>
          <w:sz w:val="26"/>
          <w:szCs w:val="26"/>
        </w:rPr>
        <w:t>alt</w:t>
      </w:r>
      <w:r w:rsidR="00367727">
        <w:rPr>
          <w:rFonts w:ascii="Times New Roman" w:hAnsi="Times New Roman" w:cs="Times New Roman"/>
          <w:sz w:val="26"/>
          <w:szCs w:val="26"/>
        </w:rPr>
        <w:t>a</w:t>
      </w:r>
      <w:r w:rsidR="001568DA" w:rsidRPr="00B9442D">
        <w:rPr>
          <w:rFonts w:ascii="Times New Roman" w:hAnsi="Times New Roman" w:cs="Times New Roman"/>
          <w:sz w:val="26"/>
          <w:szCs w:val="26"/>
        </w:rPr>
        <w:t>r</w:t>
      </w:r>
      <w:r w:rsidR="002B62A4" w:rsidRPr="00B9442D">
        <w:rPr>
          <w:rFonts w:ascii="Times New Roman" w:hAnsi="Times New Roman" w:cs="Times New Roman"/>
          <w:sz w:val="26"/>
          <w:szCs w:val="26"/>
        </w:rPr>
        <w:t>s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was not excluded</w:t>
      </w:r>
      <w:r w:rsidR="00567389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in Jerusalem by </w:t>
      </w:r>
      <w:r w:rsidR="00F93B9E">
        <w:rPr>
          <w:rFonts w:ascii="Times New Roman" w:hAnsi="Times New Roman" w:cs="Times New Roman"/>
          <w:sz w:val="26"/>
          <w:szCs w:val="26"/>
        </w:rPr>
        <w:t>D</w:t>
      </w:r>
      <w:r w:rsidR="009C18CA" w:rsidRPr="00B9442D">
        <w:rPr>
          <w:rFonts w:ascii="Times New Roman" w:hAnsi="Times New Roman" w:cs="Times New Roman"/>
          <w:sz w:val="26"/>
          <w:szCs w:val="26"/>
        </w:rPr>
        <w:t>euteronom</w:t>
      </w:r>
      <w:r w:rsidR="00367727">
        <w:rPr>
          <w:rFonts w:ascii="Times New Roman" w:hAnsi="Times New Roman" w:cs="Times New Roman"/>
          <w:sz w:val="26"/>
          <w:szCs w:val="26"/>
        </w:rPr>
        <w:t>ic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legislation. </w:t>
      </w:r>
      <w:r w:rsidR="001A0503">
        <w:rPr>
          <w:rFonts w:ascii="Times New Roman" w:hAnsi="Times New Roman" w:cs="Times New Roman"/>
          <w:sz w:val="26"/>
          <w:szCs w:val="26"/>
        </w:rPr>
        <w:br/>
      </w:r>
      <w:r w:rsidR="001A0503">
        <w:rPr>
          <w:rFonts w:ascii="Times New Roman" w:hAnsi="Times New Roman" w:cs="Times New Roman"/>
          <w:sz w:val="26"/>
          <w:szCs w:val="26"/>
        </w:rPr>
        <w:br/>
        <w:t xml:space="preserve">9. Course Summary -- 3 Areas: Structure and Integrity (treaties), Centralization of Worship, and Sequence of the Law Codes </w:t>
      </w:r>
      <w:r w:rsidR="00367727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ab/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Now it seems to me just as </w:t>
      </w:r>
      <w:r w:rsidR="00F93B9E">
        <w:rPr>
          <w:rFonts w:ascii="Times New Roman" w:hAnsi="Times New Roman" w:cs="Times New Roman"/>
          <w:sz w:val="26"/>
          <w:szCs w:val="26"/>
        </w:rPr>
        <w:t>we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draw this </w:t>
      </w:r>
      <w:r w:rsidR="004756C6">
        <w:rPr>
          <w:rFonts w:ascii="Times New Roman" w:hAnsi="Times New Roman" w:cs="Times New Roman"/>
          <w:sz w:val="26"/>
          <w:szCs w:val="26"/>
        </w:rPr>
        <w:t xml:space="preserve">whole introductory section to a 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conclusion that there are three issues in </w:t>
      </w:r>
      <w:r w:rsidR="00F93B9E">
        <w:rPr>
          <w:rFonts w:ascii="Times New Roman" w:hAnsi="Times New Roman" w:cs="Times New Roman"/>
          <w:sz w:val="26"/>
          <w:szCs w:val="26"/>
        </w:rPr>
        <w:t>D</w:t>
      </w:r>
      <w:r w:rsidR="001568DA" w:rsidRPr="00B9442D">
        <w:rPr>
          <w:rFonts w:ascii="Times New Roman" w:hAnsi="Times New Roman" w:cs="Times New Roman"/>
          <w:sz w:val="26"/>
          <w:szCs w:val="26"/>
        </w:rPr>
        <w:t>euteronomic studies that are significant</w:t>
      </w:r>
      <w:r w:rsidR="004756C6">
        <w:rPr>
          <w:rFonts w:ascii="Times New Roman" w:hAnsi="Times New Roman" w:cs="Times New Roman"/>
          <w:sz w:val="26"/>
          <w:szCs w:val="26"/>
        </w:rPr>
        <w:t xml:space="preserve"> o</w:t>
      </w:r>
      <w:r w:rsidR="001568DA" w:rsidRPr="00B9442D">
        <w:rPr>
          <w:rFonts w:ascii="Times New Roman" w:hAnsi="Times New Roman" w:cs="Times New Roman"/>
          <w:sz w:val="26"/>
          <w:szCs w:val="26"/>
        </w:rPr>
        <w:t>n which presently there is a very solid orthodox counterpart to critical theory. The first is th</w:t>
      </w:r>
      <w:r w:rsidR="00367727">
        <w:rPr>
          <w:rFonts w:ascii="Times New Roman" w:hAnsi="Times New Roman" w:cs="Times New Roman"/>
          <w:sz w:val="26"/>
          <w:szCs w:val="26"/>
        </w:rPr>
        <w:t>is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whole structure of the book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and </w:t>
      </w:r>
      <w:r w:rsidR="00367727">
        <w:rPr>
          <w:rFonts w:ascii="Times New Roman" w:hAnsi="Times New Roman" w:cs="Times New Roman"/>
          <w:sz w:val="26"/>
          <w:szCs w:val="26"/>
        </w:rPr>
        <w:t>Kline</w:t>
      </w:r>
      <w:r w:rsidR="004756C6">
        <w:rPr>
          <w:rFonts w:ascii="Times New Roman" w:hAnsi="Times New Roman" w:cs="Times New Roman"/>
          <w:sz w:val="26"/>
          <w:szCs w:val="26"/>
        </w:rPr>
        <w:t>’</w:t>
      </w:r>
      <w:r w:rsidR="00367727">
        <w:rPr>
          <w:rFonts w:ascii="Times New Roman" w:hAnsi="Times New Roman" w:cs="Times New Roman"/>
          <w:sz w:val="26"/>
          <w:szCs w:val="26"/>
        </w:rPr>
        <w:t>s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work </w:t>
      </w:r>
      <w:r w:rsidR="004756C6">
        <w:rPr>
          <w:rFonts w:ascii="Times New Roman" w:hAnsi="Times New Roman" w:cs="Times New Roman"/>
          <w:sz w:val="26"/>
          <w:szCs w:val="26"/>
        </w:rPr>
        <w:t xml:space="preserve">and </w:t>
      </w:r>
      <w:r w:rsidR="001568DA" w:rsidRPr="00B9442D">
        <w:rPr>
          <w:rFonts w:ascii="Times New Roman" w:hAnsi="Times New Roman" w:cs="Times New Roman"/>
          <w:sz w:val="26"/>
          <w:szCs w:val="26"/>
        </w:rPr>
        <w:t>other</w:t>
      </w:r>
      <w:r w:rsidR="00367727">
        <w:rPr>
          <w:rFonts w:ascii="Times New Roman" w:hAnsi="Times New Roman" w:cs="Times New Roman"/>
          <w:sz w:val="26"/>
          <w:szCs w:val="26"/>
        </w:rPr>
        <w:t>s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with th</w:t>
      </w:r>
      <w:r w:rsidR="00F93B9E">
        <w:rPr>
          <w:rFonts w:ascii="Times New Roman" w:hAnsi="Times New Roman" w:cs="Times New Roman"/>
          <w:sz w:val="26"/>
          <w:szCs w:val="26"/>
        </w:rPr>
        <w:t>e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>treaty/covenant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analogy</w:t>
      </w:r>
      <w:r w:rsidR="00F93B9E">
        <w:rPr>
          <w:rFonts w:ascii="Times New Roman" w:hAnsi="Times New Roman" w:cs="Times New Roman"/>
          <w:sz w:val="26"/>
          <w:szCs w:val="26"/>
        </w:rPr>
        <w:t xml:space="preserve"> have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given a good argument </w:t>
      </w:r>
      <w:r w:rsidR="004756C6">
        <w:rPr>
          <w:rFonts w:ascii="Times New Roman" w:hAnsi="Times New Roman" w:cs="Times New Roman"/>
          <w:sz w:val="26"/>
          <w:szCs w:val="26"/>
        </w:rPr>
        <w:t>supporting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F93B9E">
        <w:rPr>
          <w:rFonts w:ascii="Times New Roman" w:hAnsi="Times New Roman" w:cs="Times New Roman"/>
          <w:sz w:val="26"/>
          <w:szCs w:val="26"/>
        </w:rPr>
        <w:t>the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integrity and </w:t>
      </w:r>
      <w:r w:rsidR="00F93B9E">
        <w:rPr>
          <w:rFonts w:ascii="Times New Roman" w:hAnsi="Times New Roman" w:cs="Times New Roman"/>
          <w:sz w:val="26"/>
          <w:szCs w:val="26"/>
        </w:rPr>
        <w:t xml:space="preserve">the 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unity </w:t>
      </w:r>
      <w:r w:rsidR="00367727">
        <w:rPr>
          <w:rFonts w:ascii="Times New Roman" w:hAnsi="Times New Roman" w:cs="Times New Roman"/>
          <w:sz w:val="26"/>
          <w:szCs w:val="26"/>
        </w:rPr>
        <w:t>of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the book of Deuteronomy over against critical theory. </w:t>
      </w:r>
      <w:r w:rsidR="00F93B9E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F93B9E">
        <w:rPr>
          <w:rFonts w:ascii="Times New Roman" w:hAnsi="Times New Roman" w:cs="Times New Roman"/>
          <w:sz w:val="26"/>
          <w:szCs w:val="26"/>
        </w:rPr>
        <w:tab/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The second issue is </w:t>
      </w:r>
      <w:r w:rsidR="00764D12" w:rsidRPr="00B9442D">
        <w:rPr>
          <w:rFonts w:ascii="Times New Roman" w:hAnsi="Times New Roman" w:cs="Times New Roman"/>
          <w:sz w:val="26"/>
          <w:szCs w:val="26"/>
        </w:rPr>
        <w:t>this matter of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centralization worship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>c</w:t>
      </w:r>
      <w:r w:rsidR="00F93B9E">
        <w:rPr>
          <w:rFonts w:ascii="Times New Roman" w:hAnsi="Times New Roman" w:cs="Times New Roman"/>
          <w:sz w:val="26"/>
          <w:szCs w:val="26"/>
        </w:rPr>
        <w:t>ritical</w:t>
      </w:r>
      <w:r w:rsidR="00367727">
        <w:rPr>
          <w:rFonts w:ascii="Times New Roman" w:hAnsi="Times New Roman" w:cs="Times New Roman"/>
          <w:sz w:val="26"/>
          <w:szCs w:val="26"/>
        </w:rPr>
        <w:t xml:space="preserve"> to Wellhausen’s view</w:t>
      </w:r>
      <w:r w:rsidR="004756C6">
        <w:rPr>
          <w:rFonts w:ascii="Times New Roman" w:hAnsi="Times New Roman" w:cs="Times New Roman"/>
          <w:sz w:val="26"/>
          <w:szCs w:val="26"/>
        </w:rPr>
        <w:t>.</w:t>
      </w:r>
      <w:r w:rsidR="001568DA" w:rsidRPr="00B9442D">
        <w:rPr>
          <w:rFonts w:ascii="Times New Roman" w:hAnsi="Times New Roman" w:cs="Times New Roman"/>
          <w:sz w:val="26"/>
          <w:szCs w:val="26"/>
        </w:rPr>
        <w:t xml:space="preserve"> I think the position of </w:t>
      </w:r>
      <w:proofErr w:type="spellStart"/>
      <w:r w:rsidR="00367727">
        <w:rPr>
          <w:rFonts w:ascii="Times New Roman" w:hAnsi="Times New Roman" w:cs="Times New Roman"/>
          <w:sz w:val="26"/>
          <w:szCs w:val="26"/>
        </w:rPr>
        <w:t>Halwarda</w:t>
      </w:r>
      <w:proofErr w:type="spellEnd"/>
      <w:r w:rsidR="00367727">
        <w:rPr>
          <w:rFonts w:ascii="Times New Roman" w:hAnsi="Times New Roman" w:cs="Times New Roman"/>
          <w:sz w:val="26"/>
          <w:szCs w:val="26"/>
        </w:rPr>
        <w:t>, T</w:t>
      </w:r>
      <w:r w:rsidR="00BD29C1" w:rsidRPr="00B9442D">
        <w:rPr>
          <w:rFonts w:ascii="Times New Roman" w:hAnsi="Times New Roman" w:cs="Times New Roman"/>
          <w:sz w:val="26"/>
          <w:szCs w:val="26"/>
        </w:rPr>
        <w:t>hompson, Man</w:t>
      </w:r>
      <w:r w:rsidR="002B62A4" w:rsidRPr="00B9442D">
        <w:rPr>
          <w:rFonts w:ascii="Times New Roman" w:hAnsi="Times New Roman" w:cs="Times New Roman"/>
          <w:sz w:val="26"/>
          <w:szCs w:val="26"/>
        </w:rPr>
        <w:t xml:space="preserve">ley and others face that issue </w:t>
      </w:r>
      <w:r w:rsidR="00F93B9E">
        <w:rPr>
          <w:rFonts w:ascii="Times New Roman" w:hAnsi="Times New Roman" w:cs="Times New Roman"/>
          <w:sz w:val="26"/>
          <w:szCs w:val="26"/>
        </w:rPr>
        <w:t xml:space="preserve">and </w:t>
      </w:r>
      <w:r w:rsidR="002B62A4" w:rsidRPr="00B9442D">
        <w:rPr>
          <w:rFonts w:ascii="Times New Roman" w:hAnsi="Times New Roman" w:cs="Times New Roman"/>
          <w:sz w:val="26"/>
          <w:szCs w:val="26"/>
        </w:rPr>
        <w:t>giv</w:t>
      </w:r>
      <w:r w:rsidR="00F93B9E">
        <w:rPr>
          <w:rFonts w:ascii="Times New Roman" w:hAnsi="Times New Roman" w:cs="Times New Roman"/>
          <w:sz w:val="26"/>
          <w:szCs w:val="26"/>
        </w:rPr>
        <w:t>e</w:t>
      </w:r>
      <w:r w:rsidR="002B62A4" w:rsidRPr="00B9442D">
        <w:rPr>
          <w:rFonts w:ascii="Times New Roman" w:hAnsi="Times New Roman" w:cs="Times New Roman"/>
          <w:sz w:val="26"/>
          <w:szCs w:val="26"/>
        </w:rPr>
        <w:t xml:space="preserve"> an alternative position </w:t>
      </w:r>
      <w:r w:rsidR="00BD29C1" w:rsidRPr="00B9442D">
        <w:rPr>
          <w:rFonts w:ascii="Times New Roman" w:hAnsi="Times New Roman" w:cs="Times New Roman"/>
          <w:sz w:val="26"/>
          <w:szCs w:val="26"/>
        </w:rPr>
        <w:t>put</w:t>
      </w:r>
      <w:r w:rsidR="004756C6">
        <w:rPr>
          <w:rFonts w:ascii="Times New Roman" w:hAnsi="Times New Roman" w:cs="Times New Roman"/>
          <w:sz w:val="26"/>
          <w:szCs w:val="26"/>
        </w:rPr>
        <w:t>ting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the issue on quite a different perspective </w:t>
      </w:r>
      <w:r w:rsidR="00764D12" w:rsidRPr="00B9442D">
        <w:rPr>
          <w:rFonts w:ascii="Times New Roman" w:hAnsi="Times New Roman" w:cs="Times New Roman"/>
          <w:sz w:val="26"/>
          <w:szCs w:val="26"/>
        </w:rPr>
        <w:t xml:space="preserve">than </w:t>
      </w:r>
      <w:r w:rsidR="00367727">
        <w:rPr>
          <w:rFonts w:ascii="Times New Roman" w:hAnsi="Times New Roman" w:cs="Times New Roman"/>
          <w:sz w:val="26"/>
          <w:szCs w:val="26"/>
        </w:rPr>
        <w:t>Wellhausen</w:t>
      </w:r>
      <w:r w:rsidR="002B0447" w:rsidRPr="00B9442D">
        <w:rPr>
          <w:rFonts w:ascii="Times New Roman" w:hAnsi="Times New Roman" w:cs="Times New Roman"/>
          <w:sz w:val="26"/>
          <w:szCs w:val="26"/>
        </w:rPr>
        <w:t xml:space="preserve"> does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. </w:t>
      </w:r>
      <w:r w:rsidR="00F93B9E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F93B9E">
        <w:rPr>
          <w:rFonts w:ascii="Times New Roman" w:hAnsi="Times New Roman" w:cs="Times New Roman"/>
          <w:sz w:val="26"/>
          <w:szCs w:val="26"/>
        </w:rPr>
        <w:tab/>
      </w:r>
      <w:r w:rsidR="003B4228" w:rsidRPr="00B9442D">
        <w:rPr>
          <w:rFonts w:ascii="Times New Roman" w:hAnsi="Times New Roman" w:cs="Times New Roman"/>
          <w:sz w:val="26"/>
          <w:szCs w:val="26"/>
        </w:rPr>
        <w:t>The third matter</w:t>
      </w:r>
      <w:r w:rsidR="004756C6">
        <w:rPr>
          <w:rFonts w:ascii="Times New Roman" w:hAnsi="Times New Roman" w:cs="Times New Roman"/>
          <w:sz w:val="26"/>
          <w:szCs w:val="26"/>
        </w:rPr>
        <w:t>,</w:t>
      </w:r>
      <w:r w:rsidR="003B422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and I </w:t>
      </w:r>
      <w:r w:rsidR="003B4228" w:rsidRPr="00B9442D">
        <w:rPr>
          <w:rFonts w:ascii="Times New Roman" w:hAnsi="Times New Roman" w:cs="Times New Roman"/>
          <w:sz w:val="26"/>
          <w:szCs w:val="26"/>
        </w:rPr>
        <w:t>can’t get into it</w:t>
      </w:r>
      <w:r w:rsidR="002B0447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4756C6">
        <w:rPr>
          <w:rFonts w:ascii="Times New Roman" w:hAnsi="Times New Roman" w:cs="Times New Roman"/>
          <w:sz w:val="26"/>
          <w:szCs w:val="26"/>
        </w:rPr>
        <w:t xml:space="preserve">because </w:t>
      </w:r>
      <w:r w:rsidR="002B0447" w:rsidRPr="00B9442D">
        <w:rPr>
          <w:rFonts w:ascii="Times New Roman" w:hAnsi="Times New Roman" w:cs="Times New Roman"/>
          <w:sz w:val="26"/>
          <w:szCs w:val="26"/>
        </w:rPr>
        <w:t>it’s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complex and detailed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367727">
        <w:rPr>
          <w:rFonts w:ascii="Times New Roman" w:hAnsi="Times New Roman" w:cs="Times New Roman"/>
          <w:sz w:val="26"/>
          <w:szCs w:val="26"/>
        </w:rPr>
        <w:t xml:space="preserve"> i</w:t>
      </w:r>
      <w:r w:rsidR="00BD29C1" w:rsidRPr="00B9442D">
        <w:rPr>
          <w:rFonts w:ascii="Times New Roman" w:hAnsi="Times New Roman" w:cs="Times New Roman"/>
          <w:sz w:val="26"/>
          <w:szCs w:val="26"/>
        </w:rPr>
        <w:t>s the matter of this so</w:t>
      </w:r>
      <w:r w:rsidR="00F93B9E">
        <w:rPr>
          <w:rFonts w:ascii="Times New Roman" w:hAnsi="Times New Roman" w:cs="Times New Roman"/>
          <w:sz w:val="26"/>
          <w:szCs w:val="26"/>
        </w:rPr>
        <w:t>-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called </w:t>
      </w:r>
      <w:r w:rsidR="002B0447" w:rsidRPr="00B9442D">
        <w:rPr>
          <w:rFonts w:ascii="Times New Roman" w:hAnsi="Times New Roman" w:cs="Times New Roman"/>
          <w:sz w:val="26"/>
          <w:szCs w:val="26"/>
        </w:rPr>
        <w:t>progression of alt</w:t>
      </w:r>
      <w:r w:rsidR="00367727">
        <w:rPr>
          <w:rFonts w:ascii="Times New Roman" w:hAnsi="Times New Roman" w:cs="Times New Roman"/>
          <w:sz w:val="26"/>
          <w:szCs w:val="26"/>
        </w:rPr>
        <w:t>ar</w:t>
      </w:r>
      <w:r w:rsidR="002B0447" w:rsidRPr="00B9442D">
        <w:rPr>
          <w:rFonts w:ascii="Times New Roman" w:hAnsi="Times New Roman" w:cs="Times New Roman"/>
          <w:sz w:val="26"/>
          <w:szCs w:val="26"/>
        </w:rPr>
        <w:t>s</w:t>
      </w:r>
      <w:r w:rsidR="004756C6">
        <w:rPr>
          <w:rFonts w:ascii="Times New Roman" w:hAnsi="Times New Roman" w:cs="Times New Roman"/>
          <w:sz w:val="26"/>
          <w:szCs w:val="26"/>
        </w:rPr>
        <w:t xml:space="preserve"> through the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 xml:space="preserve">J code, E code, </w:t>
      </w:r>
      <w:r w:rsidR="00BD29C1" w:rsidRPr="00B9442D">
        <w:rPr>
          <w:rFonts w:ascii="Times New Roman" w:hAnsi="Times New Roman" w:cs="Times New Roman"/>
          <w:sz w:val="26"/>
          <w:szCs w:val="26"/>
        </w:rPr>
        <w:t>Deuteronomy</w:t>
      </w:r>
      <w:r w:rsidR="002B0447" w:rsidRPr="00B9442D">
        <w:rPr>
          <w:rFonts w:ascii="Times New Roman" w:hAnsi="Times New Roman" w:cs="Times New Roman"/>
          <w:sz w:val="26"/>
          <w:szCs w:val="26"/>
        </w:rPr>
        <w:t xml:space="preserve"> code</w:t>
      </w:r>
      <w:r w:rsidR="00764D12" w:rsidRPr="00B9442D">
        <w:rPr>
          <w:rFonts w:ascii="Times New Roman" w:hAnsi="Times New Roman" w:cs="Times New Roman"/>
          <w:sz w:val="26"/>
          <w:szCs w:val="26"/>
        </w:rPr>
        <w:t>, holiness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764D12" w:rsidRPr="00B9442D">
        <w:rPr>
          <w:rFonts w:ascii="Times New Roman" w:hAnsi="Times New Roman" w:cs="Times New Roman"/>
          <w:sz w:val="26"/>
          <w:szCs w:val="26"/>
        </w:rPr>
        <w:t xml:space="preserve"> and priestly codes</w:t>
      </w:r>
      <w:r w:rsidR="004756C6">
        <w:rPr>
          <w:rFonts w:ascii="Times New Roman" w:hAnsi="Times New Roman" w:cs="Times New Roman"/>
          <w:sz w:val="26"/>
          <w:szCs w:val="26"/>
        </w:rPr>
        <w:t xml:space="preserve">. In </w:t>
      </w:r>
      <w:r w:rsidR="00BD29C1" w:rsidRPr="00B9442D">
        <w:rPr>
          <w:rFonts w:ascii="Times New Roman" w:hAnsi="Times New Roman" w:cs="Times New Roman"/>
          <w:sz w:val="26"/>
          <w:szCs w:val="26"/>
        </w:rPr>
        <w:t>other words</w:t>
      </w:r>
      <w:r w:rsidR="004756C6">
        <w:rPr>
          <w:rFonts w:ascii="Times New Roman" w:hAnsi="Times New Roman" w:cs="Times New Roman"/>
          <w:sz w:val="26"/>
          <w:szCs w:val="26"/>
        </w:rPr>
        <w:t>,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a sequence </w:t>
      </w:r>
      <w:r w:rsidR="004756C6">
        <w:rPr>
          <w:rFonts w:ascii="Times New Roman" w:hAnsi="Times New Roman" w:cs="Times New Roman"/>
          <w:sz w:val="26"/>
          <w:szCs w:val="26"/>
        </w:rPr>
        <w:t xml:space="preserve">of parallel 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development and change </w:t>
      </w:r>
      <w:r w:rsidR="003B4228" w:rsidRPr="00B9442D">
        <w:rPr>
          <w:rFonts w:ascii="Times New Roman" w:hAnsi="Times New Roman" w:cs="Times New Roman"/>
          <w:sz w:val="26"/>
          <w:szCs w:val="26"/>
        </w:rPr>
        <w:t>in some kin</w:t>
      </w:r>
      <w:r w:rsidR="00BD29C1" w:rsidRPr="00B9442D">
        <w:rPr>
          <w:rFonts w:ascii="Times New Roman" w:hAnsi="Times New Roman" w:cs="Times New Roman"/>
          <w:sz w:val="26"/>
          <w:szCs w:val="26"/>
        </w:rPr>
        <w:t>d of historical progression</w:t>
      </w:r>
      <w:r w:rsidR="002B0447" w:rsidRPr="00B9442D">
        <w:rPr>
          <w:rFonts w:ascii="Times New Roman" w:hAnsi="Times New Roman" w:cs="Times New Roman"/>
          <w:sz w:val="26"/>
          <w:szCs w:val="26"/>
        </w:rPr>
        <w:t>.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Man</w:t>
      </w:r>
      <w:r w:rsidR="003B4228" w:rsidRPr="00B9442D">
        <w:rPr>
          <w:rFonts w:ascii="Times New Roman" w:hAnsi="Times New Roman" w:cs="Times New Roman"/>
          <w:sz w:val="26"/>
          <w:szCs w:val="26"/>
        </w:rPr>
        <w:t>l</w:t>
      </w:r>
      <w:r w:rsidR="00BD29C1" w:rsidRPr="00B9442D">
        <w:rPr>
          <w:rFonts w:ascii="Times New Roman" w:hAnsi="Times New Roman" w:cs="Times New Roman"/>
          <w:sz w:val="26"/>
          <w:szCs w:val="26"/>
        </w:rPr>
        <w:t>e</w:t>
      </w:r>
      <w:r w:rsidR="003B4228" w:rsidRPr="00B9442D">
        <w:rPr>
          <w:rFonts w:ascii="Times New Roman" w:hAnsi="Times New Roman" w:cs="Times New Roman"/>
          <w:sz w:val="26"/>
          <w:szCs w:val="26"/>
        </w:rPr>
        <w:t xml:space="preserve">y deals with that beautifully in </w:t>
      </w:r>
      <w:r w:rsidR="003B4228" w:rsidRPr="00B9442D">
        <w:rPr>
          <w:rFonts w:ascii="Times New Roman" w:hAnsi="Times New Roman" w:cs="Times New Roman"/>
          <w:sz w:val="26"/>
          <w:szCs w:val="26"/>
        </w:rPr>
        <w:lastRenderedPageBreak/>
        <w:t xml:space="preserve">this book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T</w:t>
      </w:r>
      <w:r w:rsidR="003B4228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he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B</w:t>
      </w:r>
      <w:r w:rsidR="003B4228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ook of the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L</w:t>
      </w:r>
      <w:r w:rsidR="003B4228" w:rsidRPr="00367727">
        <w:rPr>
          <w:rFonts w:ascii="Times New Roman" w:hAnsi="Times New Roman" w:cs="Times New Roman"/>
          <w:i/>
          <w:iCs/>
          <w:sz w:val="26"/>
          <w:szCs w:val="26"/>
        </w:rPr>
        <w:t>aw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: S</w:t>
      </w:r>
      <w:r w:rsidR="00BD29C1" w:rsidRPr="00367727">
        <w:rPr>
          <w:rFonts w:ascii="Times New Roman" w:hAnsi="Times New Roman" w:cs="Times New Roman"/>
          <w:i/>
          <w:iCs/>
          <w:sz w:val="26"/>
          <w:szCs w:val="26"/>
        </w:rPr>
        <w:t>tudie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="00BD29C1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 in the </w:t>
      </w:r>
      <w:r w:rsidR="00367727" w:rsidRPr="00367727">
        <w:rPr>
          <w:rFonts w:ascii="Times New Roman" w:hAnsi="Times New Roman" w:cs="Times New Roman"/>
          <w:i/>
          <w:iCs/>
          <w:sz w:val="26"/>
          <w:szCs w:val="26"/>
        </w:rPr>
        <w:t>Date</w:t>
      </w:r>
      <w:r w:rsidR="00BD29C1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 of</w:t>
      </w:r>
      <w:r w:rsidR="003B4228" w:rsidRPr="00367727">
        <w:rPr>
          <w:rFonts w:ascii="Times New Roman" w:hAnsi="Times New Roman" w:cs="Times New Roman"/>
          <w:i/>
          <w:iCs/>
          <w:sz w:val="26"/>
          <w:szCs w:val="26"/>
        </w:rPr>
        <w:t xml:space="preserve"> Deuteronomy</w:t>
      </w:r>
      <w:r w:rsidR="00BD29C1" w:rsidRPr="00B9442D">
        <w:rPr>
          <w:rFonts w:ascii="Times New Roman" w:hAnsi="Times New Roman" w:cs="Times New Roman"/>
          <w:sz w:val="26"/>
          <w:szCs w:val="26"/>
        </w:rPr>
        <w:t>. H</w:t>
      </w:r>
      <w:r w:rsidR="003B4228" w:rsidRPr="00B9442D">
        <w:rPr>
          <w:rFonts w:ascii="Times New Roman" w:hAnsi="Times New Roman" w:cs="Times New Roman"/>
          <w:sz w:val="26"/>
          <w:szCs w:val="26"/>
        </w:rPr>
        <w:t xml:space="preserve">e </w:t>
      </w:r>
      <w:r w:rsidR="00BD29C1" w:rsidRPr="00B9442D">
        <w:rPr>
          <w:rFonts w:ascii="Times New Roman" w:hAnsi="Times New Roman" w:cs="Times New Roman"/>
          <w:sz w:val="26"/>
          <w:szCs w:val="26"/>
        </w:rPr>
        <w:t>points out numerous problems with th</w:t>
      </w:r>
      <w:r w:rsidR="004756C6">
        <w:rPr>
          <w:rFonts w:ascii="Times New Roman" w:hAnsi="Times New Roman" w:cs="Times New Roman"/>
          <w:sz w:val="26"/>
          <w:szCs w:val="26"/>
        </w:rPr>
        <w:t>e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scheme o</w:t>
      </w:r>
      <w:r w:rsidR="002B0447" w:rsidRPr="00B9442D">
        <w:rPr>
          <w:rFonts w:ascii="Times New Roman" w:hAnsi="Times New Roman" w:cs="Times New Roman"/>
          <w:sz w:val="26"/>
          <w:szCs w:val="26"/>
        </w:rPr>
        <w:t xml:space="preserve">f </w:t>
      </w:r>
      <w:r w:rsidR="00367727">
        <w:rPr>
          <w:rFonts w:ascii="Times New Roman" w:hAnsi="Times New Roman" w:cs="Times New Roman"/>
          <w:sz w:val="26"/>
          <w:szCs w:val="26"/>
        </w:rPr>
        <w:t>JEDP</w:t>
      </w:r>
      <w:r w:rsidR="00F93B9E">
        <w:rPr>
          <w:rFonts w:ascii="Times New Roman" w:hAnsi="Times New Roman" w:cs="Times New Roman"/>
          <w:sz w:val="26"/>
          <w:szCs w:val="26"/>
        </w:rPr>
        <w:t>’s</w:t>
      </w:r>
      <w:r w:rsidR="002B0447" w:rsidRPr="00B9442D">
        <w:rPr>
          <w:rFonts w:ascii="Times New Roman" w:hAnsi="Times New Roman" w:cs="Times New Roman"/>
          <w:sz w:val="26"/>
          <w:szCs w:val="26"/>
        </w:rPr>
        <w:t xml:space="preserve"> progressive development and successive code</w:t>
      </w:r>
      <w:r w:rsidR="00367727">
        <w:rPr>
          <w:rFonts w:ascii="Times New Roman" w:hAnsi="Times New Roman" w:cs="Times New Roman"/>
          <w:sz w:val="26"/>
          <w:szCs w:val="26"/>
        </w:rPr>
        <w:t xml:space="preserve">s. </w:t>
      </w:r>
      <w:r w:rsidR="004756C6">
        <w:rPr>
          <w:rFonts w:ascii="Times New Roman" w:hAnsi="Times New Roman" w:cs="Times New Roman"/>
          <w:sz w:val="26"/>
          <w:szCs w:val="26"/>
        </w:rPr>
        <w:t xml:space="preserve">This </w:t>
      </w:r>
      <w:r w:rsidR="00BD29C1" w:rsidRPr="00B9442D">
        <w:rPr>
          <w:rFonts w:ascii="Times New Roman" w:hAnsi="Times New Roman" w:cs="Times New Roman"/>
          <w:sz w:val="26"/>
          <w:szCs w:val="26"/>
        </w:rPr>
        <w:t>requires a detailed</w:t>
      </w:r>
      <w:r w:rsidR="003B4228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consideration of specific laws </w:t>
      </w:r>
      <w:r w:rsidR="004756C6">
        <w:rPr>
          <w:rFonts w:ascii="Times New Roman" w:hAnsi="Times New Roman" w:cs="Times New Roman"/>
          <w:sz w:val="26"/>
          <w:szCs w:val="26"/>
        </w:rPr>
        <w:t>t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hat </w:t>
      </w:r>
      <w:r w:rsidR="00F93B9E">
        <w:rPr>
          <w:rFonts w:ascii="Times New Roman" w:hAnsi="Times New Roman" w:cs="Times New Roman"/>
          <w:sz w:val="26"/>
          <w:szCs w:val="26"/>
        </w:rPr>
        <w:t>contrast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3B4228" w:rsidRPr="00B9442D">
        <w:rPr>
          <w:rFonts w:ascii="Times New Roman" w:hAnsi="Times New Roman" w:cs="Times New Roman"/>
          <w:sz w:val="26"/>
          <w:szCs w:val="26"/>
        </w:rPr>
        <w:t xml:space="preserve">with </w:t>
      </w:r>
      <w:r w:rsidR="00F93B9E">
        <w:rPr>
          <w:rFonts w:ascii="Times New Roman" w:hAnsi="Times New Roman" w:cs="Times New Roman"/>
          <w:sz w:val="26"/>
          <w:szCs w:val="26"/>
        </w:rPr>
        <w:t xml:space="preserve">the </w:t>
      </w:r>
      <w:r w:rsidR="00367727">
        <w:rPr>
          <w:rFonts w:ascii="Times New Roman" w:hAnsi="Times New Roman" w:cs="Times New Roman"/>
          <w:sz w:val="26"/>
          <w:szCs w:val="26"/>
        </w:rPr>
        <w:t>covenant code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in Deuteronomy and </w:t>
      </w:r>
      <w:r w:rsidR="004756C6">
        <w:rPr>
          <w:rFonts w:ascii="Times New Roman" w:hAnsi="Times New Roman" w:cs="Times New Roman"/>
          <w:sz w:val="26"/>
          <w:szCs w:val="26"/>
        </w:rPr>
        <w:t>the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conclusions </w:t>
      </w:r>
      <w:r w:rsidR="004756C6">
        <w:rPr>
          <w:rFonts w:ascii="Times New Roman" w:hAnsi="Times New Roman" w:cs="Times New Roman"/>
          <w:sz w:val="26"/>
          <w:szCs w:val="26"/>
        </w:rPr>
        <w:t xml:space="preserve">that 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can </w:t>
      </w:r>
      <w:r w:rsidR="004756C6">
        <w:rPr>
          <w:rFonts w:ascii="Times New Roman" w:hAnsi="Times New Roman" w:cs="Times New Roman"/>
          <w:sz w:val="26"/>
          <w:szCs w:val="26"/>
        </w:rPr>
        <w:t xml:space="preserve">be </w:t>
      </w:r>
      <w:r w:rsidR="00BD29C1" w:rsidRPr="00B9442D">
        <w:rPr>
          <w:rFonts w:ascii="Times New Roman" w:hAnsi="Times New Roman" w:cs="Times New Roman"/>
          <w:sz w:val="26"/>
          <w:szCs w:val="26"/>
        </w:rPr>
        <w:t>draw</w:t>
      </w:r>
      <w:r w:rsidR="004756C6">
        <w:rPr>
          <w:rFonts w:ascii="Times New Roman" w:hAnsi="Times New Roman" w:cs="Times New Roman"/>
          <w:sz w:val="26"/>
          <w:szCs w:val="26"/>
        </w:rPr>
        <w:t>n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from</w:t>
      </w:r>
      <w:r w:rsidR="004756C6">
        <w:rPr>
          <w:rFonts w:ascii="Times New Roman" w:hAnsi="Times New Roman" w:cs="Times New Roman"/>
          <w:sz w:val="26"/>
          <w:szCs w:val="26"/>
        </w:rPr>
        <w:t xml:space="preserve"> that. 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Manley</w:t>
      </w:r>
      <w:r w:rsidR="004756C6">
        <w:rPr>
          <w:rFonts w:ascii="Times New Roman" w:hAnsi="Times New Roman" w:cs="Times New Roman"/>
          <w:sz w:val="26"/>
          <w:szCs w:val="26"/>
        </w:rPr>
        <w:t>’s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discussion of that is an excellent response </w:t>
      </w:r>
      <w:r w:rsidR="004756C6">
        <w:rPr>
          <w:rFonts w:ascii="Times New Roman" w:hAnsi="Times New Roman" w:cs="Times New Roman"/>
          <w:sz w:val="26"/>
          <w:szCs w:val="26"/>
        </w:rPr>
        <w:t>countering</w:t>
      </w:r>
      <w:r w:rsidR="00367727">
        <w:rPr>
          <w:rFonts w:ascii="Times New Roman" w:hAnsi="Times New Roman" w:cs="Times New Roman"/>
          <w:sz w:val="26"/>
          <w:szCs w:val="26"/>
        </w:rPr>
        <w:t xml:space="preserve"> Wellhausen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. </w:t>
      </w:r>
      <w:r w:rsidR="00367727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="00367727">
        <w:rPr>
          <w:rFonts w:ascii="Times New Roman" w:hAnsi="Times New Roman" w:cs="Times New Roman"/>
          <w:sz w:val="26"/>
          <w:szCs w:val="26"/>
        </w:rPr>
        <w:tab/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So in those three areas, structure and integrity, centralization </w:t>
      </w:r>
      <w:r w:rsidR="00F93B9E">
        <w:rPr>
          <w:rFonts w:ascii="Times New Roman" w:hAnsi="Times New Roman" w:cs="Times New Roman"/>
          <w:sz w:val="26"/>
          <w:szCs w:val="26"/>
        </w:rPr>
        <w:t xml:space="preserve">of </w:t>
      </w:r>
      <w:r w:rsidR="00BD29C1" w:rsidRPr="00B9442D">
        <w:rPr>
          <w:rFonts w:ascii="Times New Roman" w:hAnsi="Times New Roman" w:cs="Times New Roman"/>
          <w:sz w:val="26"/>
          <w:szCs w:val="26"/>
        </w:rPr>
        <w:t>worship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and sequence of code</w:t>
      </w:r>
      <w:r w:rsidR="004C4DE3">
        <w:rPr>
          <w:rFonts w:ascii="Times New Roman" w:hAnsi="Times New Roman" w:cs="Times New Roman"/>
          <w:sz w:val="26"/>
          <w:szCs w:val="26"/>
        </w:rPr>
        <w:t>s</w:t>
      </w:r>
      <w:r w:rsidR="00F93B9E">
        <w:rPr>
          <w:rFonts w:ascii="Times New Roman" w:hAnsi="Times New Roman" w:cs="Times New Roman"/>
          <w:sz w:val="26"/>
          <w:szCs w:val="26"/>
        </w:rPr>
        <w:t>,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</w:t>
      </w:r>
      <w:r w:rsidR="002B0447" w:rsidRPr="00B9442D">
        <w:rPr>
          <w:rFonts w:ascii="Times New Roman" w:hAnsi="Times New Roman" w:cs="Times New Roman"/>
          <w:sz w:val="26"/>
          <w:szCs w:val="26"/>
        </w:rPr>
        <w:t>in the past few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 years </w:t>
      </w:r>
      <w:r w:rsidR="004756C6">
        <w:rPr>
          <w:rFonts w:ascii="Times New Roman" w:hAnsi="Times New Roman" w:cs="Times New Roman"/>
          <w:sz w:val="26"/>
          <w:szCs w:val="26"/>
        </w:rPr>
        <w:t xml:space="preserve">there </w:t>
      </w:r>
      <w:r w:rsidR="00BD29C1" w:rsidRPr="00B9442D">
        <w:rPr>
          <w:rFonts w:ascii="Times New Roman" w:hAnsi="Times New Roman" w:cs="Times New Roman"/>
          <w:sz w:val="26"/>
          <w:szCs w:val="26"/>
        </w:rPr>
        <w:t xml:space="preserve">has been an enormous </w:t>
      </w:r>
      <w:r w:rsidR="009C18CA" w:rsidRPr="00B9442D">
        <w:rPr>
          <w:rFonts w:ascii="Times New Roman" w:hAnsi="Times New Roman" w:cs="Times New Roman"/>
          <w:sz w:val="26"/>
          <w:szCs w:val="26"/>
        </w:rPr>
        <w:t xml:space="preserve">amount of work done from an </w:t>
      </w:r>
      <w:r w:rsidR="004C4DE3">
        <w:rPr>
          <w:rFonts w:ascii="Times New Roman" w:hAnsi="Times New Roman" w:cs="Times New Roman"/>
          <w:sz w:val="26"/>
          <w:szCs w:val="26"/>
        </w:rPr>
        <w:t>ev</w:t>
      </w:r>
      <w:r w:rsidR="009C18CA" w:rsidRPr="00B9442D">
        <w:rPr>
          <w:rFonts w:ascii="Times New Roman" w:hAnsi="Times New Roman" w:cs="Times New Roman"/>
          <w:sz w:val="26"/>
          <w:szCs w:val="26"/>
        </w:rPr>
        <w:t xml:space="preserve">angelical perspective that I think is </w:t>
      </w:r>
      <w:r w:rsidR="004756C6">
        <w:rPr>
          <w:rFonts w:ascii="Times New Roman" w:hAnsi="Times New Roman" w:cs="Times New Roman"/>
          <w:sz w:val="26"/>
          <w:szCs w:val="26"/>
        </w:rPr>
        <w:t>of</w:t>
      </w:r>
      <w:r w:rsidR="009C18CA" w:rsidRPr="00B9442D">
        <w:rPr>
          <w:rFonts w:ascii="Times New Roman" w:hAnsi="Times New Roman" w:cs="Times New Roman"/>
          <w:sz w:val="26"/>
          <w:szCs w:val="26"/>
        </w:rPr>
        <w:t xml:space="preserve"> great value </w:t>
      </w:r>
      <w:r w:rsidR="004C4DE3">
        <w:rPr>
          <w:rFonts w:ascii="Times New Roman" w:hAnsi="Times New Roman" w:cs="Times New Roman"/>
          <w:sz w:val="26"/>
          <w:szCs w:val="26"/>
        </w:rPr>
        <w:t>to counter</w:t>
      </w:r>
      <w:r w:rsidR="009C18CA" w:rsidRPr="00B9442D">
        <w:rPr>
          <w:rFonts w:ascii="Times New Roman" w:hAnsi="Times New Roman" w:cs="Times New Roman"/>
          <w:sz w:val="26"/>
          <w:szCs w:val="26"/>
        </w:rPr>
        <w:t xml:space="preserve"> the positions that have just dominated the field </w:t>
      </w:r>
      <w:r w:rsidR="004756C6">
        <w:rPr>
          <w:rFonts w:ascii="Times New Roman" w:hAnsi="Times New Roman" w:cs="Times New Roman"/>
          <w:sz w:val="26"/>
          <w:szCs w:val="26"/>
        </w:rPr>
        <w:t>in the study of</w:t>
      </w:r>
      <w:r w:rsidR="009C18CA" w:rsidRPr="00B9442D">
        <w:rPr>
          <w:rFonts w:ascii="Times New Roman" w:hAnsi="Times New Roman" w:cs="Times New Roman"/>
          <w:sz w:val="26"/>
          <w:szCs w:val="26"/>
        </w:rPr>
        <w:t xml:space="preserve"> the book of Deuteronomy. Next class we will get into </w:t>
      </w:r>
      <w:r w:rsidR="004756C6">
        <w:rPr>
          <w:rFonts w:ascii="Times New Roman" w:hAnsi="Times New Roman" w:cs="Times New Roman"/>
          <w:sz w:val="26"/>
          <w:szCs w:val="26"/>
        </w:rPr>
        <w:t xml:space="preserve">student presentations on </w:t>
      </w:r>
      <w:r w:rsidR="009C18CA" w:rsidRPr="00B9442D">
        <w:rPr>
          <w:rFonts w:ascii="Times New Roman" w:hAnsi="Times New Roman" w:cs="Times New Roman"/>
          <w:sz w:val="26"/>
          <w:szCs w:val="26"/>
        </w:rPr>
        <w:t xml:space="preserve">Deuteronomy </w:t>
      </w:r>
      <w:r w:rsidR="004C4DE3">
        <w:rPr>
          <w:rFonts w:ascii="Times New Roman" w:hAnsi="Times New Roman" w:cs="Times New Roman"/>
          <w:sz w:val="26"/>
          <w:szCs w:val="26"/>
        </w:rPr>
        <w:t>chapter</w:t>
      </w:r>
      <w:r w:rsidR="004756C6">
        <w:rPr>
          <w:rFonts w:ascii="Times New Roman" w:hAnsi="Times New Roman" w:cs="Times New Roman"/>
          <w:sz w:val="26"/>
          <w:szCs w:val="26"/>
        </w:rPr>
        <w:t>s</w:t>
      </w:r>
      <w:r w:rsidR="004C4DE3">
        <w:rPr>
          <w:rFonts w:ascii="Times New Roman" w:hAnsi="Times New Roman" w:cs="Times New Roman"/>
          <w:sz w:val="26"/>
          <w:szCs w:val="26"/>
        </w:rPr>
        <w:t xml:space="preserve"> 4 through </w:t>
      </w:r>
      <w:r w:rsidR="009C18CA" w:rsidRPr="00B9442D">
        <w:rPr>
          <w:rFonts w:ascii="Times New Roman" w:hAnsi="Times New Roman" w:cs="Times New Roman"/>
          <w:sz w:val="26"/>
          <w:szCs w:val="26"/>
        </w:rPr>
        <w:t xml:space="preserve">30. </w:t>
      </w:r>
    </w:p>
    <w:p w:rsidR="004C4DE3" w:rsidRPr="00F93B9E" w:rsidRDefault="004C4DE3" w:rsidP="00F93B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15728A" w:rsidRPr="00F93B9E">
        <w:rPr>
          <w:rFonts w:ascii="Times New Roman" w:hAnsi="Times New Roman" w:cs="Times New Roman"/>
          <w:sz w:val="20"/>
          <w:szCs w:val="20"/>
        </w:rPr>
        <w:t xml:space="preserve"> </w:t>
      </w:r>
      <w:r w:rsidRPr="00F93B9E">
        <w:rPr>
          <w:rFonts w:ascii="Times New Roman" w:hAnsi="Times New Roman" w:cs="Times New Roman"/>
          <w:sz w:val="20"/>
          <w:szCs w:val="20"/>
        </w:rPr>
        <w:t xml:space="preserve"> </w:t>
      </w:r>
      <w:r w:rsidRPr="00F93B9E">
        <w:rPr>
          <w:rFonts w:ascii="Times New Roman" w:hAnsi="Times New Roman" w:cs="Times New Roman"/>
          <w:sz w:val="20"/>
          <w:szCs w:val="20"/>
        </w:rPr>
        <w:tab/>
      </w:r>
      <w:r w:rsidR="0015728A" w:rsidRPr="00F93B9E">
        <w:rPr>
          <w:rFonts w:ascii="Times New Roman" w:hAnsi="Times New Roman" w:cs="Times New Roman"/>
          <w:sz w:val="20"/>
          <w:szCs w:val="20"/>
        </w:rPr>
        <w:t xml:space="preserve">Transcribed by </w:t>
      </w:r>
      <w:proofErr w:type="spellStart"/>
      <w:r w:rsidR="0015728A" w:rsidRPr="00F93B9E">
        <w:rPr>
          <w:rFonts w:ascii="Times New Roman" w:eastAsia="MS Gothic" w:hAnsi="Times New Roman" w:cs="Times New Roman"/>
          <w:sz w:val="20"/>
          <w:szCs w:val="20"/>
        </w:rPr>
        <w:t>Connillia</w:t>
      </w:r>
      <w:proofErr w:type="spellEnd"/>
      <w:r w:rsidR="0015728A" w:rsidRPr="00F93B9E">
        <w:rPr>
          <w:rFonts w:ascii="Times New Roman" w:eastAsia="MS Gothic" w:hAnsi="Times New Roman" w:cs="Times New Roman"/>
          <w:sz w:val="20"/>
          <w:szCs w:val="20"/>
        </w:rPr>
        <w:t xml:space="preserve"> Williams </w:t>
      </w:r>
      <w:r w:rsidRPr="00F93B9E">
        <w:rPr>
          <w:rFonts w:ascii="Times New Roman" w:eastAsia="MS Gothic" w:hAnsi="Times New Roman" w:cs="Times New Roman"/>
          <w:sz w:val="20"/>
          <w:szCs w:val="20"/>
        </w:rPr>
        <w:t>and Ted Hildebrandt</w:t>
      </w:r>
      <w:r w:rsidRPr="00F93B9E">
        <w:rPr>
          <w:rFonts w:ascii="Times New Roman" w:eastAsia="MS Gothic" w:hAnsi="Times New Roman" w:cs="Times New Roman"/>
          <w:sz w:val="20"/>
          <w:szCs w:val="20"/>
        </w:rPr>
        <w:br/>
        <w:t xml:space="preserve">  </w:t>
      </w:r>
      <w:r w:rsidRPr="00F93B9E">
        <w:rPr>
          <w:rFonts w:ascii="Times New Roman" w:eastAsia="MS Gothic" w:hAnsi="Times New Roman" w:cs="Times New Roman"/>
          <w:sz w:val="20"/>
          <w:szCs w:val="20"/>
        </w:rPr>
        <w:tab/>
        <w:t>Rough edited by Ted Hildebrandt</w:t>
      </w:r>
      <w:r w:rsidRPr="00F93B9E">
        <w:rPr>
          <w:rFonts w:ascii="Times New Roman" w:eastAsia="MS Gothic" w:hAnsi="Times New Roman" w:cs="Times New Roman"/>
          <w:sz w:val="20"/>
          <w:szCs w:val="20"/>
        </w:rPr>
        <w:br/>
        <w:t xml:space="preserve">  </w:t>
      </w:r>
      <w:r w:rsidRPr="00F93B9E">
        <w:rPr>
          <w:rFonts w:ascii="Times New Roman" w:eastAsia="MS Gothic" w:hAnsi="Times New Roman" w:cs="Times New Roman"/>
          <w:sz w:val="20"/>
          <w:szCs w:val="20"/>
        </w:rPr>
        <w:tab/>
        <w:t>Final edit by Dr. Perry Phillips</w:t>
      </w:r>
      <w:r w:rsidRPr="00F93B9E">
        <w:rPr>
          <w:rFonts w:ascii="Times New Roman" w:eastAsia="MS Gothic" w:hAnsi="Times New Roman" w:cs="Times New Roman"/>
          <w:sz w:val="20"/>
          <w:szCs w:val="20"/>
        </w:rPr>
        <w:br/>
        <w:t xml:space="preserve"> </w:t>
      </w:r>
      <w:r w:rsidRPr="00F93B9E">
        <w:rPr>
          <w:rFonts w:ascii="Times New Roman" w:eastAsia="MS Gothic" w:hAnsi="Times New Roman" w:cs="Times New Roman"/>
          <w:sz w:val="20"/>
          <w:szCs w:val="20"/>
        </w:rPr>
        <w:tab/>
        <w:t>Re-narrated by Dr. Perry Phillips</w:t>
      </w:r>
    </w:p>
    <w:p w:rsidR="0015728A" w:rsidRPr="00B9442D" w:rsidRDefault="0015728A" w:rsidP="00425BA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15728A" w:rsidRPr="00B9442D" w:rsidSect="00C27E3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5538" w:rsidRDefault="00F15538">
      <w:pPr>
        <w:spacing w:after="0"/>
      </w:pPr>
      <w:r>
        <w:separator/>
      </w:r>
    </w:p>
  </w:endnote>
  <w:endnote w:type="continuationSeparator" w:id="0">
    <w:p w:rsidR="00F15538" w:rsidRDefault="00F15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5538" w:rsidRDefault="00F15538">
      <w:pPr>
        <w:spacing w:after="0"/>
      </w:pPr>
      <w:r>
        <w:separator/>
      </w:r>
    </w:p>
  </w:footnote>
  <w:footnote w:type="continuationSeparator" w:id="0">
    <w:p w:rsidR="00F15538" w:rsidRDefault="00F155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0415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442D" w:rsidRDefault="00B944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94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442D" w:rsidRDefault="00B94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WNSectionTitle_3" w:displacedByCustomXml="next"/>
  <w:bookmarkStart w:id="1" w:name="_WNTabType_2" w:displacedByCustomXml="next"/>
  <w:sdt>
    <w:sdtPr>
      <w:id w:val="8134517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728A" w:rsidRDefault="001572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9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0572" w:rsidRDefault="00120572" w:rsidP="0015728A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MS Gothic" w:hAnsi="Verdana"/>
        <w:sz w:val="36"/>
        <w:szCs w:val="36"/>
      </w:rPr>
    </w:pPr>
  </w:p>
  <w:bookmarkEnd w:id="1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4742B5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41280"/>
    <w:multiLevelType w:val="hybridMultilevel"/>
    <w:tmpl w:val="D4CAE4CC"/>
    <w:lvl w:ilvl="0" w:tplc="F94470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E438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25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2653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A9F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82D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096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9E85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238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9329049">
    <w:abstractNumId w:val="0"/>
  </w:num>
  <w:num w:numId="2" w16cid:durableId="409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20"/>
  <w:drawingGridHorizontalSpacing w:val="360"/>
  <w:drawingGridVerticalSpacing w:val="360"/>
  <w:displayHorizontalDrawingGridEvery w:val="0"/>
  <w:doNotUseMarginsForDrawingGridOrigin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</w:docVars>
  <w:rsids>
    <w:rsidRoot w:val="00C27E37"/>
    <w:rsid w:val="00004476"/>
    <w:rsid w:val="00120572"/>
    <w:rsid w:val="0013083D"/>
    <w:rsid w:val="001463F4"/>
    <w:rsid w:val="001568DA"/>
    <w:rsid w:val="0015728A"/>
    <w:rsid w:val="001612DD"/>
    <w:rsid w:val="0016384C"/>
    <w:rsid w:val="00197D83"/>
    <w:rsid w:val="001A0503"/>
    <w:rsid w:val="001A34C8"/>
    <w:rsid w:val="001C1A0B"/>
    <w:rsid w:val="001C6A68"/>
    <w:rsid w:val="001F05F9"/>
    <w:rsid w:val="001F1B64"/>
    <w:rsid w:val="00214374"/>
    <w:rsid w:val="00260005"/>
    <w:rsid w:val="002B0447"/>
    <w:rsid w:val="002B62A4"/>
    <w:rsid w:val="002C400B"/>
    <w:rsid w:val="00367727"/>
    <w:rsid w:val="00370225"/>
    <w:rsid w:val="00394145"/>
    <w:rsid w:val="003A2A15"/>
    <w:rsid w:val="003B4228"/>
    <w:rsid w:val="003B75D1"/>
    <w:rsid w:val="00425BAA"/>
    <w:rsid w:val="004756C6"/>
    <w:rsid w:val="00484691"/>
    <w:rsid w:val="00496E3D"/>
    <w:rsid w:val="004C4DE3"/>
    <w:rsid w:val="00540A8D"/>
    <w:rsid w:val="00567389"/>
    <w:rsid w:val="005A10C5"/>
    <w:rsid w:val="005A7F00"/>
    <w:rsid w:val="005D1E2C"/>
    <w:rsid w:val="0062689C"/>
    <w:rsid w:val="00662564"/>
    <w:rsid w:val="006C25FA"/>
    <w:rsid w:val="00701591"/>
    <w:rsid w:val="00716ACB"/>
    <w:rsid w:val="00764D12"/>
    <w:rsid w:val="00774974"/>
    <w:rsid w:val="007A5942"/>
    <w:rsid w:val="007A6DBB"/>
    <w:rsid w:val="007C6190"/>
    <w:rsid w:val="0086175F"/>
    <w:rsid w:val="00867C19"/>
    <w:rsid w:val="00885E18"/>
    <w:rsid w:val="008A2B5B"/>
    <w:rsid w:val="008F3B0B"/>
    <w:rsid w:val="00910F79"/>
    <w:rsid w:val="009A70F4"/>
    <w:rsid w:val="009C18CA"/>
    <w:rsid w:val="009E7809"/>
    <w:rsid w:val="00A33036"/>
    <w:rsid w:val="00A54A2E"/>
    <w:rsid w:val="00A771A5"/>
    <w:rsid w:val="00A84796"/>
    <w:rsid w:val="00B9442D"/>
    <w:rsid w:val="00BA2509"/>
    <w:rsid w:val="00BD29C1"/>
    <w:rsid w:val="00C177EF"/>
    <w:rsid w:val="00C27E37"/>
    <w:rsid w:val="00C36CDF"/>
    <w:rsid w:val="00C53A5B"/>
    <w:rsid w:val="00C63A79"/>
    <w:rsid w:val="00CB5671"/>
    <w:rsid w:val="00CD30D2"/>
    <w:rsid w:val="00CF0F0A"/>
    <w:rsid w:val="00DE4513"/>
    <w:rsid w:val="00DE7751"/>
    <w:rsid w:val="00E5383D"/>
    <w:rsid w:val="00E571E5"/>
    <w:rsid w:val="00E61660"/>
    <w:rsid w:val="00E87BBC"/>
    <w:rsid w:val="00EA567E"/>
    <w:rsid w:val="00EA5973"/>
    <w:rsid w:val="00EB359B"/>
    <w:rsid w:val="00F15538"/>
    <w:rsid w:val="00F35842"/>
    <w:rsid w:val="00F638B5"/>
    <w:rsid w:val="00F64B63"/>
    <w:rsid w:val="00F70D96"/>
    <w:rsid w:val="00F93B9E"/>
    <w:rsid w:val="00FC6D69"/>
    <w:rsid w:val="00FD0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7C66"/>
  <w15:docId w15:val="{B4F865E3-7111-46A1-834B-67FA0AD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C27E37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C27E37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C27E37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C27E37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C27E37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C27E37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C27E37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C27E37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C27E37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unhideWhenUsed/>
    <w:rsid w:val="00C27E3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E37"/>
  </w:style>
  <w:style w:type="paragraph" w:styleId="Footer">
    <w:name w:val="footer"/>
    <w:basedOn w:val="Normal"/>
    <w:link w:val="FooterChar"/>
    <w:uiPriority w:val="99"/>
    <w:unhideWhenUsed/>
    <w:rsid w:val="00B944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42D"/>
  </w:style>
  <w:style w:type="paragraph" w:styleId="NoSpacing">
    <w:name w:val="No Spacing"/>
    <w:basedOn w:val="Normal"/>
    <w:uiPriority w:val="1"/>
    <w:qFormat/>
    <w:rsid w:val="0015728A"/>
    <w:pPr>
      <w:spacing w:after="0"/>
    </w:pPr>
    <w:rPr>
      <w:rFonts w:eastAsiaTheme="minorEastAsia"/>
      <w:sz w:val="22"/>
      <w:szCs w:val="22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8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4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Gordon College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Connillia Williams</dc:creator>
  <cp:lastModifiedBy>Ted Hildebrandt</cp:lastModifiedBy>
  <cp:revision>4</cp:revision>
  <cp:lastPrinted>2011-11-27T13:22:00Z</cp:lastPrinted>
  <dcterms:created xsi:type="dcterms:W3CDTF">2011-12-14T12:00:00Z</dcterms:created>
  <dcterms:modified xsi:type="dcterms:W3CDTF">2023-03-22T11:43:00Z</dcterms:modified>
</cp:coreProperties>
</file>