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="36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c7g2mtzgb4p5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كينجز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محاضرة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16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before="280"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c7g2mtzgb4p5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</w:t>
        <w:tab/>
        <w:t xml:space="preserve">       © 2012 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دكتور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فانوي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دكتور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فيليبس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هيلدبراندت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(722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(586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رابعا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10-15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انخفضنا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"1"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10-15".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يابيش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واغتالته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ناقشنا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اغتيل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نبوءة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عطيت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ستستمر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لأربعة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أجيال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30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إنجاز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صواب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وفعلت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لمنزل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أخآب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أفكر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وجدته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يهواحاز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ويواش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ويربعام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وزكريا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اغتيال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لزكريا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فصاعد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تتدهور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الباقين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اغتيلوا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باستثناء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مناحم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اغتيل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الأشوريون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للانحدار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السريع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الباقون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مناحم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"2"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الباقون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وبقاحيا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سنناقش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14-22: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اغتيل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مناحم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15:13: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يابيش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والثلاثين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لعزيا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انطلق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ترصة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يابيش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فقتله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مناحم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17: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بفول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Tiglath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Pileser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سجلات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تيغلاث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743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كركميش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وحماة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وجبيل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ودمشق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صراحة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تيغلاث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غزا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وأعطاه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وزنة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ليكسب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ويقوي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سيطرته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Pritchard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283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تكريم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لتغلاث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22-26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22-26".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مناحيم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25: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تآمر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ضباطه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واغتال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واغتيل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ضباطه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27-32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27-32".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ضابطا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واغتال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التكهنات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الدافع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للاغتيال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يشعر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معظمهم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بيكاه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الأرجح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زعيما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لفصيل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مناهض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رزين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الدمشقي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لمهاجمة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إقناع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بمعارضة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المحتمل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مناهض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المحتمل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بيكاه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التهديد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تخلص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ولاحظت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29: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تغلث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فلاسر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إيجون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ويانوح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وقادش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وحاصور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جلعاد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وترحيل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أعقاب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تيجلاث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لحثه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بالذات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30-17: 6</w:t>
        <w:br w:type="textWrapping"/>
        <w:t xml:space="preserve">         </w:t>
        <w:tab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15:30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17: 6."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يتضمن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سقطت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بالتحالف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34: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وسقطت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مؤامرة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بمساعدة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تيغلاث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ادعى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284.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30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تآمر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رمليا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واغتاله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فصيلا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المقاومة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يزعم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تيغلاث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727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تيغلاث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شلمنصر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مبعوثين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17: 4: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اكتشف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خائن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مبعوثين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شلمنصر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باعتقاله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ووضعه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السجن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وغزا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وحاصرها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التاسعة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وترحيل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حلح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وقوزان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حبور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الميديين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شلمنصر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الاستيلاء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سرجون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بالسيطرة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تطهير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شلمنصر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إتمامها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17: 17-23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"3"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17: 17-23".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بإيجاز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17: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أوامره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قطعه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والتحذيرات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أعطاهم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إياها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اتبعوا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أصنام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وأصبحوا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تفعلوا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وفعلوا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حرم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خالفوا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اللعنات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تتضمن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الكوارث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فشل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المحاصيل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وأوبئة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الجراد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الجفاف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استمرار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الابتعاد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الذروة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للشتائم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طردهم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نقضوا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وأزالهم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يحفظوا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اتبعوا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الممارسات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أدخلتها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ارتدوا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"4"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صفحتك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الإسرائيليين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فحسب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توطين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صنعت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آلهتها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البلدات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استقروا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وأقاموها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المزارات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أقامها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آلهتهم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لعادات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متزامنة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نشأت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المنطقة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توطينها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المختلط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واستقروا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معروفين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لاحقة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Samaritans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Samaritans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أحفاد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توطينهم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أسفل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البياني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وأكمل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توقفنا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سنحاريب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اسرحدون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(681-669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 - 2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19:37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نزلنا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سنحاريب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"5":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سنحاريب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أسرحدون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681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669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19:37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سنحاريب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نسروخ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قطعه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أبناؤه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أدرملك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وشرآصر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وهربوا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اسرحدون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19:37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سنحاريب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وإسرحدون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آسرحدون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669-633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اسرحدون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الأكبر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الأصغر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ساأوكين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المطاف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اندلعت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بقيادة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داخلي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648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الاستيلاء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صراع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وانتحر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ساأوكين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أضعف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الصراع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الداخلي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يحاول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سيطرة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بصرف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إنجازاته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العسكرية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أنشأ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نينوى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اكتشافها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1853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للعديد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احتفظت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مكتبته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ISBE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موسوعة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المقدس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القياسية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1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مقالة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الطبعة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ISBE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عتبر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للأدب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راعي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المسيحية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تضمنت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مكتبته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قوائم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ثنائية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وثلاثية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اللغات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لفك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الرموز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لفك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رموز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السومرية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والأكادية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كمحاربين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محاربين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يرحمون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بالأدب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أثبتت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الصراع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ضعفت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633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قريبة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نينوى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ناحوم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"3"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صفحتك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نينوى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وتمكنت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استقلالها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نبوبولاصر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وبالطبع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نبوبلاصر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سلالة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بنابوبلاصر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بانيبال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633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بحلول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612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هاجم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الميديون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والبابليون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نينوى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عاصمة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ودمروها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بالمواد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الإنجيلية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تنبأ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ناحوم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ناحوم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بتدمير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نينوى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إصحاحات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لشرور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ودمارها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612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نينوى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612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عاصمة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عاصمة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استمرت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قائد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الاشتباك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والضغط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نيكو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لمساعدة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دراية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قراءتك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التوراتي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لمحاولة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وهزم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ستخوض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كركميش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الغرب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حاران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الهزيمة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صعود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بانتصارهم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رئيسية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23:29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يخبرك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تورط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الصراع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السياسي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23:29: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نخو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لمساعدة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للقائه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نيكو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واجهه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أحضر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خدام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جسده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عربة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مجدو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ودفنوه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br w:type="textWrapping"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ننتقل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605-562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نيبوبولاسار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الإمبراطورية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605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كركميش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نبوبولاصر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نبوبلاصر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كركميش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لتولي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بحلول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الضغط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21: 1-18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"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"1"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21: 1-18".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حزقيا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20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إضطجع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حزقيا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أطول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حزقيا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الممارسات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المقيتة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للأمم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طردها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المرتفعات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دمرها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حزقيا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وأقام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مذابح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للبعل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الجيوش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المرصعة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بالنجوم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ومارس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السحر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والعرافة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واغضبه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إرتكب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البغيضة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سبقوه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وقادوا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الخطيئة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بأصنامه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كارثة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تطن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آذان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سأمحو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يمسح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صحن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ويمسحها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ويقلبها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عقب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شريرا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يقضي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وجدناه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نقلوه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10: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ووضعوا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خطاف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وأوثقوه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بسلاسل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نحاسية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تزال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الآشورية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ضيقته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وتواضع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تأثر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بتوسلاته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توسلاته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فأعاده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مملكته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الحادثة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مذكورة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٢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٢١:١٩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21:19.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آمون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اثنتين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وعشرين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أعوانه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تآمروا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واغتالوه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واغتيل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مسؤوليه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٢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٢٢: ١- ٢٣</w:t>
        <w:br w:type="textWrapping"/>
        <w:t xml:space="preserve"> </w:t>
        <w:tab/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الناموس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22: 1-23 ، 30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يوازيه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34: 1-35 ، 27.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نقطتان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فرعيتان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ترميم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وأحضره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حلقيا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الكهنة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وقرأه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مزق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ثيابه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13: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واستفسر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ولأجل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يحترق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آبائنا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يطيعوا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يتصرفوا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بغض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الناموس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أسفار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بأكملها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تسوية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بوضوح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التثنية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أزعج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اللعنات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ابتعدت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فاضطرب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بشأن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للرجل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ّ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اللعنات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تركوني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وأحرقوا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البخور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لآلهة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وأغضبوني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أصنامهم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يشتعل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يطفأ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أجاب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تأجيل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  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٢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٢٣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بكامله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القضاء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واحتفلوا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حقيقي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تفاصيل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تظن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يبتعد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اشتعل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منسى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لاغاظته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سأخرج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وجودي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أزلت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وسأرفض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اخترتها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ومتأخر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يعودون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يسقطون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وعندئذ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تفادي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الدينونة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يهوآحاز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٢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٢٣: ٣١-٣٣.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32: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آباؤه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يهواحاز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نيكو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يهواحاز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الياكيم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34: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نخو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يهواحاز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وسافر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نيكو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يهواحاز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الياكيم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23: 34-24: 5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يقودنا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"5:"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23:34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فيستال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وضعه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الفرعون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كركميش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انتصار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كركميش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خاضع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تلاحظ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قليلة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تزداد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توقع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الخضوع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للبابليين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خيانة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26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تنبأ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سيهلك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وطلبوا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موت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حمى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36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الرابعة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وقالت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كلمتك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أتحدث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إليكم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يوشيا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ويأخذه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23: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يهودي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قطعها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بسكين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وألقى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احترق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بأكمله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يخاف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سمعوا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يمزقوا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ثيابهم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عوض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يرحمئيل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وسرايا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عزريئيل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وشلميا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عبدئيل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بالقبض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باروخ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الكاتب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أخفاهم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'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أحرقت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الدرج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لماذا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فعلت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تكتب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بالتأكيد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ويدمر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ويقطع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والحيوانات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"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يجلس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يطرد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جسده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ويتعرض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للحرارة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بالنهار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والصقيع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سأعاقبه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وأولاده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وعبيده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شرهم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سأجلب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كارثة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تحدثت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يسمعوا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الحادثة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تملأ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 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غزا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وأصبح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تابع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رأيه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بحلول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غارات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شعوب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 2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غزاة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وآراميين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وموآبيين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وعمونيين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أرسلهم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ليهلكوا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يخبرنا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إرميا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عنيفة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بالضبط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 6-16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وخلفه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 6-16.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أمسك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بزمام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دعى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Jeconiah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597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يستسلم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تجد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24:12: "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وخدامه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ونبلاءه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استسلموا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لنبوخذنصر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597.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حاكم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الاسمين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شقيق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وقرأت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تمرد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يأخذون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(586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).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586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وحاصروها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وأخيرا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استولوا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ودمروا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متنيا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أعموه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أخذوه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ربلة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8.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غضون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إدراجه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ببساطة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وسرعان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الالتباس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جدليا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وقتنا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انتهى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أطرح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الشفافية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لاختتام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المناقشة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للآشوريين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البابليين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الصعب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اسمحوا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أذكر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تتعلق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جميعها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15:29 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730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730.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18:11 ، 722-721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شلمنصر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إسرائيل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هوشع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عمليتا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ترحيل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730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والآخر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722-721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الجنوبية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 1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كركميش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صغيرة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نظرت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دانيال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1: 1-4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فيبدو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دانيال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605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ليهوياقيم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نبوخذ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كبار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الشبان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كركميش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4 ،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24: 14-16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597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السبي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الكثيرون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يهوياكين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أخير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2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25:11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12 ، 586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الدمار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النهائي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لأورشليم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وأعمى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صدقيا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والجنوب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السامرة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واعتماد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تعريفك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605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586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اعتماد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تعنيه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مربك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الأحيان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تفكر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586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المنفى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أسرى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أسرهم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586.</w:t>
        <w:br w:type="textWrapping"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طيب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أسئلة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تعليقات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هرعت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أعتذر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أعتقد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سنختتم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nbb9n7egdlqq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آنا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بلومبيرج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nbb9n7egdlqq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الخام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حرره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تيد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هيلدبراندت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nbb9n7egdlqq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نهائي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فيليبس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nbb9n7egdlqq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بيري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فيليبس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ffffff" w:val="clear"/>
        <w:spacing w:before="280" w:line="3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l7p32jukws3l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