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FA6F6" w14:textId="77777777" w:rsidR="00B5186A" w:rsidRPr="009074EF" w:rsidRDefault="00B5186A" w:rsidP="00170B7C">
      <w:pPr>
        <w:widowControl w:val="0"/>
        <w:autoSpaceDE w:val="0"/>
        <w:autoSpaceDN w:val="0"/>
        <w:adjustRightInd w:val="0"/>
        <w:spacing w:line="360" w:lineRule="auto"/>
        <w:rPr>
          <w:rFonts w:ascii="Times New Roman" w:hAnsi="Times New Roman" w:cs="Times New Roman"/>
          <w:b/>
          <w:sz w:val="28"/>
          <w:szCs w:val="28"/>
        </w:rPr>
      </w:pPr>
      <w:r>
        <w:rPr>
          <w:rFonts w:ascii="Times New Roman" w:hAnsi="Times New Roman" w:cs="Times New Roman"/>
          <w:b/>
          <w:sz w:val="28"/>
          <w:szCs w:val="28"/>
        </w:rPr>
        <w:t>Robert Vannoy, Podstawy proroctw biblijnych, Wykład 14</w:t>
      </w:r>
    </w:p>
    <w:p w14:paraId="0C0518FE" w14:textId="77777777" w:rsidR="00B5186A" w:rsidRPr="009074EF" w:rsidRDefault="00AE1444" w:rsidP="00B5186A">
      <w:pPr>
        <w:widowControl w:val="0"/>
        <w:autoSpaceDE w:val="0"/>
        <w:autoSpaceDN w:val="0"/>
        <w:adjustRightInd w:val="0"/>
        <w:spacing w:line="360" w:lineRule="auto"/>
        <w:rPr>
          <w:rFonts w:ascii="Times New Roman" w:hAnsi="Times New Roman" w:cs="Times New Roman"/>
          <w:sz w:val="26"/>
          <w:szCs w:val="28"/>
        </w:rPr>
      </w:pPr>
      <w:r>
        <w:rPr>
          <w:rFonts w:ascii="Times New Roman" w:hAnsi="Times New Roman" w:cs="Times New Roman"/>
          <w:sz w:val="26"/>
          <w:szCs w:val="28"/>
        </w:rPr>
        <w:t>Wytyczne dotyczące interpretacji proroctw</w:t>
      </w:r>
      <w:r>
        <w:rPr>
          <w:rFonts w:ascii="Times New Roman" w:hAnsi="Times New Roman" w:cs="Times New Roman"/>
          <w:sz w:val="26"/>
          <w:szCs w:val="28"/>
        </w:rPr>
        <w:br/>
      </w:r>
    </w:p>
    <w:p w14:paraId="3A9C71DC" w14:textId="77777777" w:rsidR="00AE1444" w:rsidRDefault="00AE1444" w:rsidP="00E55D7D">
      <w:pPr>
        <w:widowControl w:val="0"/>
        <w:autoSpaceDE w:val="0"/>
        <w:autoSpaceDN w:val="0"/>
        <w:adjustRightInd w:val="0"/>
        <w:spacing w:line="360" w:lineRule="auto"/>
        <w:rPr>
          <w:rFonts w:ascii="Times New Roman" w:hAnsi="Times New Roman" w:cs="Times New Roman"/>
          <w:sz w:val="26"/>
          <w:szCs w:val="28"/>
        </w:rPr>
      </w:pPr>
      <w:r>
        <w:rPr>
          <w:rFonts w:ascii="Times New Roman" w:hAnsi="Times New Roman" w:cs="Times New Roman"/>
          <w:sz w:val="26"/>
          <w:szCs w:val="28"/>
        </w:rPr>
        <w:t>Wytyczne dotyczące interpretacji proroctw</w:t>
      </w:r>
    </w:p>
    <w:p w14:paraId="1EC8D77F" w14:textId="77777777" w:rsidR="00B5186A" w:rsidRPr="009074EF" w:rsidRDefault="00AE1444" w:rsidP="00E55D7D">
      <w:pPr>
        <w:widowControl w:val="0"/>
        <w:autoSpaceDE w:val="0"/>
        <w:autoSpaceDN w:val="0"/>
        <w:adjustRightInd w:val="0"/>
        <w:spacing w:line="360" w:lineRule="auto"/>
        <w:rPr>
          <w:rFonts w:ascii="Times New Roman" w:hAnsi="Times New Roman" w:cs="Times New Roman"/>
          <w:sz w:val="26"/>
          <w:szCs w:val="28"/>
        </w:rPr>
      </w:pPr>
      <w:r>
        <w:rPr>
          <w:rFonts w:ascii="Times New Roman" w:hAnsi="Times New Roman" w:cs="Times New Roman"/>
          <w:sz w:val="26"/>
          <w:szCs w:val="28"/>
        </w:rPr>
        <w:t>1. Dokonaj starannej gramatycznej analizy kontekstu historycznego fragmentu</w:t>
      </w:r>
      <w:r>
        <w:rPr>
          <w:rFonts w:ascii="Times New Roman" w:hAnsi="Times New Roman" w:cs="Times New Roman"/>
          <w:sz w:val="26"/>
          <w:szCs w:val="28"/>
        </w:rPr>
        <w:br/>
      </w:r>
      <w:r w:rsidR="00E55D7D">
        <w:rPr>
          <w:rFonts w:ascii="Times New Roman" w:hAnsi="Times New Roman" w:cs="Times New Roman"/>
          <w:sz w:val="26"/>
          <w:szCs w:val="28"/>
        </w:rPr>
        <w:t xml:space="preserve"> </w:t>
      </w:r>
      <w:r w:rsidR="00E55D7D">
        <w:rPr>
          <w:rFonts w:ascii="Times New Roman" w:hAnsi="Times New Roman" w:cs="Times New Roman"/>
          <w:sz w:val="26"/>
          <w:szCs w:val="28"/>
        </w:rPr>
        <w:tab/>
      </w:r>
      <w:r w:rsidR="00013D2C">
        <w:rPr>
          <w:rFonts w:ascii="Times New Roman" w:hAnsi="Times New Roman" w:cs="Times New Roman"/>
          <w:sz w:val="26"/>
          <w:szCs w:val="28"/>
        </w:rPr>
        <w:t xml:space="preserve">Omawialiśmy „Wytyczne dotyczące interpretacji proroctw”. 1. pod tym jest: „Dokonaj starannej gramatycznej i historycznej analizy kontekstowej tego fragmentu”. To nie jest coś, co jest wyłączne dla proroczych dyskursów ani dla zadania egzegetycznego. Myślę, że to podstawowe, fundamentalne zadanie tłumacza. Najpierw musisz zrozumieć znaczenie słów, używany język, studiując użycie słów w innych miejscach, a następnie związek między słowami. W tym momencie wchodzisz w konstrukcje gramatyczne. Ale poza tym powinieneś spojrzeć na tło historyczne proroka i ludzi, do których prorok przemawiał. Powinniśmy przyjrzeć się kontekstowi tego, co następuje, a także kontekstowi tego, co następuje, oraz tokowi myśli w księdze, której częścią jest proroctwo. Myślę, że to działa jak fale w stawie. Patrzysz na cały kanon Pisma Świętego, gdzie patrzysz na wąski bliski kontekst, a następnie wypracowujesz sobie drogę do szerszego kontekstu aż do całego kontekstu Biblii. Należy zapoznać się z wszelkimi równoległymi fragmentami, jeśli takie istnieją. Więc to całkiem podstawowe rzeczy, które wszyscy znacie. „Dokonaj starannej analizy gramatycznej, historycznej i kontekstowej tego fragmentu”. </w:t>
      </w:r>
      <w:r>
        <w:rPr>
          <w:rFonts w:ascii="Times New Roman" w:hAnsi="Times New Roman" w:cs="Times New Roman"/>
          <w:sz w:val="26"/>
          <w:szCs w:val="28"/>
        </w:rPr>
        <w:br/>
      </w:r>
      <w:r>
        <w:rPr>
          <w:rFonts w:ascii="Times New Roman" w:hAnsi="Times New Roman" w:cs="Times New Roman"/>
          <w:sz w:val="26"/>
          <w:szCs w:val="28"/>
        </w:rPr>
        <w:br/>
        <w:t>2. Wyraźnie określ, do kogo lub do czego odnosi się dany fragment.</w:t>
      </w:r>
    </w:p>
    <w:p w14:paraId="19FFDD0F" w14:textId="77777777" w:rsidR="00B5186A" w:rsidRPr="009074EF" w:rsidRDefault="00100333" w:rsidP="00170B7C">
      <w:pPr>
        <w:widowControl w:val="0"/>
        <w:autoSpaceDE w:val="0"/>
        <w:autoSpaceDN w:val="0"/>
        <w:adjustRightInd w:val="0"/>
        <w:spacing w:line="360" w:lineRule="auto"/>
        <w:rPr>
          <w:rFonts w:ascii="Times New Roman" w:hAnsi="Times New Roman" w:cs="Times New Roman"/>
          <w:sz w:val="26"/>
        </w:rPr>
      </w:pPr>
      <w:r>
        <w:rPr>
          <w:rFonts w:ascii="Times New Roman" w:hAnsi="Times New Roman" w:cs="Times New Roman"/>
          <w:sz w:val="26"/>
          <w:szCs w:val="28"/>
        </w:rPr>
        <w:t xml:space="preserve"> </w:t>
      </w:r>
      <w:r>
        <w:rPr>
          <w:rFonts w:ascii="Times New Roman" w:hAnsi="Times New Roman" w:cs="Times New Roman"/>
          <w:sz w:val="26"/>
          <w:szCs w:val="28"/>
        </w:rPr>
        <w:tab/>
        <w:t xml:space="preserve">2 </w:t>
      </w:r>
      <w:r w:rsidR="00170B7C">
        <w:rPr>
          <w:rFonts w:ascii="Times New Roman" w:hAnsi="Times New Roman" w:cs="Times New Roman"/>
          <w:sz w:val="26"/>
          <w:szCs w:val="28"/>
        </w:rPr>
        <w:t xml:space="preserve">. „Wyraźnie określ, do kogo lub do czego odnosi się ten fragment”. Możemy zadać pytania w rodzaju: „Czy orędzie dotyczy słuchacza lub czytelnika, do którego jest skierowane, czy też mówi im o kimś innym?” Zadając to pytanie możemy określić, czy dany fragment ma charakter predyktywny, czy dydaktyczny. Jeśli jest to dydaktyczne, a prorok po prostu naucza tych, do których przemawia, jakiejś ważnej prawdy skierowanej do nich, która może mieć zastosowanie do nas. Czy on coś do nich mówi, czy chodzi o kogoś innego? W takim przypadku może to być predykcyjne lub w jakiś sposób nasycone </w:t>
      </w:r>
      <w:r w:rsidR="00E55D7D">
        <w:rPr>
          <w:rFonts w:ascii="Times New Roman" w:hAnsi="Times New Roman" w:cs="Times New Roman"/>
          <w:sz w:val="26"/>
          <w:szCs w:val="28"/>
        </w:rPr>
        <w:lastRenderedPageBreak/>
        <w:t xml:space="preserve">elementami predykcyjnymi. </w:t>
      </w:r>
      <w:r w:rsidR="00B5186A" w:rsidRPr="009074EF">
        <w:rPr>
          <w:rFonts w:ascii="Times New Roman" w:hAnsi="Times New Roman" w:cs="Times New Roman"/>
          <w:sz w:val="26"/>
          <w:szCs w:val="28"/>
        </w:rPr>
        <w:t xml:space="preserve">Musimy to uporządkować. Czy fragment jest przewidywalny? Jeśli jest przewidywalny, czy są jakieś warunki? Może to mieć znaczenie w sposobie poszukiwania jej spełnienia. Może istnieć warunek, który nie jest określony, ale musisz zadać to pytanie. Jeśli jest przewidywalna, to czy jest spełniona czy niespełniona? Wydaje mi się, że początkowo odpowiadasz na to pytanie, szukając spełnienia w innym miejscu Pisma Świętego. Masz sporo proroctw w Starym Testamencie, które wypełniły się już w okresie Starego Testamentu. Masz inne proroctwa w Starym Testamencie, które wypełniły się w okresie Nowego Testamentu. Oczywiście, macie proroctwa, które się wypełniły w czasach, w których żyjemy, w czasach kościoła, albo możecie mieć proroctwa, które jeszcze się nie wypełniły, ale oczekujecie czasu Dnia Pańskiego. Więc musisz to uporządkować. Jeśli jest przewidywalna, to czy jest spełniona czy niespełniona? </w:t>
      </w:r>
      <w:r w:rsidR="00AE1444">
        <w:rPr>
          <w:rFonts w:ascii="Times New Roman" w:hAnsi="Times New Roman" w:cs="Times New Roman"/>
          <w:sz w:val="26"/>
          <w:szCs w:val="28"/>
        </w:rPr>
        <w:br/>
      </w:r>
      <w:r w:rsidR="00AE1444">
        <w:rPr>
          <w:rFonts w:ascii="Times New Roman" w:hAnsi="Times New Roman" w:cs="Times New Roman"/>
          <w:sz w:val="26"/>
          <w:szCs w:val="28"/>
        </w:rPr>
        <w:br/>
        <w:t>3. Zwróć uwagę na cytaty dotyczące realizacji</w:t>
      </w:r>
      <w:r w:rsidR="00D1277E">
        <w:rPr>
          <w:rFonts w:ascii="Times New Roman" w:hAnsi="Times New Roman" w:cs="Times New Roman"/>
          <w:sz w:val="26"/>
          <w:szCs w:val="28"/>
        </w:rPr>
        <w:br/>
        <w:t xml:space="preserve"> </w:t>
      </w:r>
      <w:r w:rsidR="00D1277E">
        <w:rPr>
          <w:rFonts w:ascii="Times New Roman" w:hAnsi="Times New Roman" w:cs="Times New Roman"/>
          <w:sz w:val="26"/>
          <w:szCs w:val="28"/>
        </w:rPr>
        <w:tab/>
      </w:r>
      <w:r w:rsidR="00B5186A" w:rsidRPr="009074EF">
        <w:rPr>
          <w:rFonts w:ascii="Times New Roman" w:hAnsi="Times New Roman" w:cs="Times New Roman"/>
          <w:sz w:val="26"/>
          <w:szCs w:val="28"/>
        </w:rPr>
        <w:t xml:space="preserve">To prowadzi nas do 3. „Zwracaj uwagę na cytaty o spełnieniu”. Mam na myśli to, że w Nowym Testamencie pojawiają się pewne zwroty, które mogą być wskazówkami lub pomocami w stwierdzeniu, że jest to proroctwo, które w szczególny sposób znajduje swoje wypełnienie. Mam na myśli takie zwroty, jak „aby się wypełniło”. Niewątpliwie spotkałeś się z tym cytatem spełnienia. Kiedy to widzisz, myślę normalnie, jeśli spojrzysz na wszystkie zastosowania, jest to dość specyficzne z myślą o spełnieniu. Jest takie proroctwo, które tutaj się spełnia. Jednak kwalifikacja; w niektórych przypadkach wyrażenie to można uznać za odnoszące się do związku ilustracji lub podobieństwa w słowach lub ideach, w których stwierdzenie Starego Testamentu samo w sobie nie było prorocze. </w:t>
      </w:r>
      <w:r w:rsidR="00AE1444">
        <w:rPr>
          <w:rFonts w:ascii="Times New Roman" w:hAnsi="Times New Roman" w:cs="Times New Roman"/>
          <w:sz w:val="26"/>
          <w:szCs w:val="28"/>
        </w:rPr>
        <w:br/>
      </w:r>
      <w:r w:rsidR="00AE1444">
        <w:rPr>
          <w:rFonts w:ascii="Times New Roman" w:hAnsi="Times New Roman" w:cs="Times New Roman"/>
          <w:sz w:val="26"/>
          <w:szCs w:val="28"/>
        </w:rPr>
        <w:br/>
        <w:t xml:space="preserve">A. Mateusza 1:22 – Izaj. 7:14 </w:t>
      </w:r>
      <w:r w:rsidR="00AE1444">
        <w:rPr>
          <w:rFonts w:ascii="Times New Roman" w:hAnsi="Times New Roman" w:cs="Times New Roman"/>
          <w:sz w:val="26"/>
          <w:szCs w:val="28"/>
        </w:rPr>
        <w:tab/>
      </w:r>
      <w:r w:rsidR="00B5186A" w:rsidRPr="009074EF">
        <w:rPr>
          <w:rFonts w:ascii="Times New Roman" w:hAnsi="Times New Roman" w:cs="Times New Roman"/>
          <w:sz w:val="26"/>
          <w:szCs w:val="28"/>
        </w:rPr>
        <w:t xml:space="preserve">Myślę, że staje się to jasne, gdy spojrzymy na kilka przykładów. Jeśli spojrzysz na Ew. Mateusza 1:22, znajdziesz tam stwierdzenie: „Wszystko to się stało, aby się wypełniło słowo, które Pan powiedział przez proroka: Dziewica pocznie i porodzi syna, któremu nadadzą imię Emmanuel, to znaczy Bóg z </w:t>
      </w:r>
      <w:r w:rsidR="00B5186A" w:rsidRPr="009074EF">
        <w:rPr>
          <w:rFonts w:ascii="Times New Roman" w:hAnsi="Times New Roman" w:cs="Times New Roman"/>
          <w:sz w:val="26"/>
          <w:szCs w:val="28"/>
        </w:rPr>
        <w:lastRenderedPageBreak/>
        <w:t xml:space="preserve">nami'”. To stwierdzenie z Księgi Izajasza 7:14 odnosi się tutaj do Marii, która poczęła za sprawą Ducha Świętego i jest dziewicą, która poczęła i urodziła syna </w:t>
      </w:r>
      <w:r>
        <w:rPr>
          <w:rFonts w:ascii="Times New Roman" w:hAnsi="Times New Roman" w:cs="Times New Roman"/>
          <w:sz w:val="26"/>
          <w:szCs w:val="28"/>
        </w:rPr>
        <w:t xml:space="preserve">. Tutaj znajdziesz spełnienie się przepowiedni Izajasza 7:14. To dość specyficzne. </w:t>
      </w:r>
      <w:r w:rsidR="00AE1444">
        <w:rPr>
          <w:rFonts w:ascii="Times New Roman" w:hAnsi="Times New Roman" w:cs="Times New Roman"/>
          <w:sz w:val="26"/>
          <w:szCs w:val="28"/>
        </w:rPr>
        <w:br/>
      </w:r>
      <w:r w:rsidR="00AE1444">
        <w:rPr>
          <w:rFonts w:ascii="Times New Roman" w:hAnsi="Times New Roman" w:cs="Times New Roman"/>
          <w:sz w:val="26"/>
          <w:szCs w:val="28"/>
        </w:rPr>
        <w:br/>
        <w:t xml:space="preserve">B. Mateusza 8:17 – Izaj. 53:4 </w:t>
      </w:r>
      <w:r w:rsidR="00AE1444">
        <w:rPr>
          <w:rFonts w:ascii="Times New Roman" w:hAnsi="Times New Roman" w:cs="Times New Roman"/>
          <w:sz w:val="26"/>
          <w:szCs w:val="28"/>
        </w:rPr>
        <w:tab/>
      </w:r>
      <w:r w:rsidR="00B5186A" w:rsidRPr="009074EF">
        <w:rPr>
          <w:rFonts w:ascii="Times New Roman" w:hAnsi="Times New Roman" w:cs="Times New Roman"/>
          <w:sz w:val="26"/>
          <w:szCs w:val="28"/>
        </w:rPr>
        <w:t xml:space="preserve">W Ewangelii Mateusza 8:17 czytamy po tym, jak Jezus uzdrowił niektórych ludzi: „Tak miało się spełnić słowo proroka Izajasza: On wziął na siebie nasze słabości i nosił nasze choroby”. Izajasz 53:4. Spełnia się, będąc punktem kulminacyjnym tej serii fragmentów o Słudze Pańskiej. </w:t>
      </w:r>
      <w:r w:rsidR="00AE1444">
        <w:rPr>
          <w:rFonts w:ascii="Times New Roman" w:hAnsi="Times New Roman" w:cs="Times New Roman"/>
          <w:sz w:val="26"/>
          <w:szCs w:val="28"/>
        </w:rPr>
        <w:br/>
      </w:r>
      <w:r w:rsidR="00AE1444">
        <w:rPr>
          <w:rFonts w:ascii="Times New Roman" w:hAnsi="Times New Roman" w:cs="Times New Roman"/>
          <w:sz w:val="26"/>
          <w:szCs w:val="28"/>
        </w:rPr>
        <w:br/>
        <w:t xml:space="preserve">C. Mateusza 12:17 – Izaj. 42:1-4 </w:t>
      </w:r>
      <w:r w:rsidR="00AE1444">
        <w:rPr>
          <w:rFonts w:ascii="Times New Roman" w:hAnsi="Times New Roman" w:cs="Times New Roman"/>
          <w:sz w:val="26"/>
          <w:szCs w:val="28"/>
        </w:rPr>
        <w:tab/>
      </w:r>
      <w:r w:rsidR="00B5186A" w:rsidRPr="009074EF">
        <w:rPr>
          <w:rFonts w:ascii="Times New Roman" w:hAnsi="Times New Roman" w:cs="Times New Roman"/>
          <w:sz w:val="26"/>
          <w:szCs w:val="28"/>
        </w:rPr>
        <w:t xml:space="preserve">Mateusza 12:17 czytamy: „Tak miało się spełnić słowo proroka Izajasza: Oto mój sługa, którego wybrałem, w którym mam upodobanie. Złożę na nim mego ducha, a on ogłosi narodom sprawiedliwość. Nie będzie się kłócił ani krzyczał, ani nikt nie usłyszy jego głosu na ulicach. Trzciny nadłamanej nie złamie, knota tlącego się nie zgasi, dopóki nie doprowadzi sprawiedliwości do zwycięstwa, a w imię jego narody złożą nadzieję”. Jest to cytat z innego z tych fragmentów służących, jak wcześniej, z Izajasza 42:1-4. </w:t>
      </w:r>
      <w:r w:rsidR="00AE1444">
        <w:rPr>
          <w:rFonts w:ascii="Times New Roman" w:hAnsi="Times New Roman" w:cs="Times New Roman"/>
          <w:sz w:val="26"/>
          <w:szCs w:val="28"/>
        </w:rPr>
        <w:br/>
      </w:r>
      <w:r w:rsidR="00AE1444">
        <w:rPr>
          <w:rFonts w:ascii="Times New Roman" w:hAnsi="Times New Roman" w:cs="Times New Roman"/>
          <w:sz w:val="26"/>
          <w:szCs w:val="28"/>
        </w:rPr>
        <w:br/>
        <w:t xml:space="preserve">D. Mateusza 21:4 – Zach 9:9 </w:t>
      </w:r>
      <w:r w:rsidR="00AE1444">
        <w:rPr>
          <w:rFonts w:ascii="Times New Roman" w:hAnsi="Times New Roman" w:cs="Times New Roman"/>
          <w:sz w:val="26"/>
          <w:szCs w:val="28"/>
        </w:rPr>
        <w:tab/>
      </w:r>
      <w:r w:rsidR="00B5186A" w:rsidRPr="009074EF">
        <w:rPr>
          <w:rFonts w:ascii="Times New Roman" w:hAnsi="Times New Roman" w:cs="Times New Roman"/>
          <w:sz w:val="26"/>
          <w:szCs w:val="28"/>
        </w:rPr>
        <w:t xml:space="preserve">W Ewangelii Mateusza 21:4: „Stało się to, aby się wypełniło to, co zostało powiedziane przez proroka”, a cytat pochodzi z Księgi Zachariasza 9:9: „Powiedz córce Syjonu: zobacz Król przychodzi do ciebie łagodny i jedzie na osiołku, na oślęciu, źrebięciu oślicy”. Więc normalnie przekonasz się, że jest to dość konkretny wskaźnik, że jest to spełnienie wcześniej podanej prognozy. </w:t>
      </w:r>
      <w:r w:rsidR="00AE1444">
        <w:rPr>
          <w:rFonts w:ascii="Times New Roman" w:hAnsi="Times New Roman" w:cs="Times New Roman"/>
          <w:sz w:val="26"/>
          <w:szCs w:val="28"/>
        </w:rPr>
        <w:br/>
      </w:r>
      <w:r w:rsidR="00AE1444">
        <w:rPr>
          <w:rFonts w:ascii="Times New Roman" w:hAnsi="Times New Roman" w:cs="Times New Roman"/>
          <w:sz w:val="26"/>
          <w:szCs w:val="28"/>
        </w:rPr>
        <w:br/>
        <w:t xml:space="preserve">mi. Jakuba 2:21-23 – Rdz 15:6 </w:t>
      </w:r>
      <w:r w:rsidR="00D1277E">
        <w:rPr>
          <w:rFonts w:ascii="Times New Roman" w:hAnsi="Times New Roman" w:cs="Times New Roman"/>
          <w:sz w:val="26"/>
          <w:szCs w:val="28"/>
        </w:rPr>
        <w:tab/>
      </w:r>
      <w:r w:rsidR="00B5186A" w:rsidRPr="009074EF">
        <w:rPr>
          <w:rFonts w:ascii="Times New Roman" w:hAnsi="Times New Roman" w:cs="Times New Roman"/>
          <w:sz w:val="26"/>
          <w:szCs w:val="28"/>
        </w:rPr>
        <w:t xml:space="preserve">Czasami jednak przypomina to bardziej związek lub ilustrację podobnych słów lub idei stwierdzenia Starego Testamentu, które nie było stwierdzeniem prognostycznym. Spójrz na List Jakuba 2:21-23, gdzie znajduje się to zdanie: „ </w:t>
      </w:r>
      <w:r w:rsidR="00B5186A" w:rsidRPr="009074EF">
        <w:rPr>
          <w:rFonts w:ascii="Times New Roman" w:hAnsi="Times New Roman" w:cs="Times New Roman"/>
          <w:sz w:val="26"/>
        </w:rPr>
        <w:t xml:space="preserve">Czy nasz przodek Abraham nie został uznany za sprawiedliwego za to, co uczynił, gdy ofiarował swego syna Izaaka na ołtarzu? Widzisz, że jego wiara i jego czyny współgrały ze sobą, a jego wiara została dopełniona przez to, co zrobił. I </w:t>
      </w:r>
      <w:r w:rsidR="00D1277E">
        <w:rPr>
          <w:rFonts w:ascii="Times New Roman" w:hAnsi="Times New Roman" w:cs="Times New Roman"/>
          <w:sz w:val="26"/>
        </w:rPr>
        <w:t xml:space="preserve">wypełniło się </w:t>
      </w:r>
      <w:r w:rsidR="00D1277E">
        <w:rPr>
          <w:rFonts w:ascii="Times New Roman" w:hAnsi="Times New Roman" w:cs="Times New Roman"/>
          <w:sz w:val="26"/>
        </w:rPr>
        <w:lastRenderedPageBreak/>
        <w:t>Pismo, które mówi” i tutaj cytuje Księgę Rodzaju 15:6; „‚Abraham uwierzył Bogu i poczytano mu to za sprawiedliwość’ i został nazwany przyjacielem Boga”. Jeśli przejdziesz do Księgi Rodzaju 15:6, dzieje się to po tym, jak Pan powiedział Abrahamowi, że Eliezer nie będzie jego spadkobiercą, ale jego syn miał zostać jego spadkobiercą i powiedział: „Spójrz w niebo, aby policzyć gwiazdy, jeśli rzeczywiście potrafisz je policzyć”. A potem rzekł do niego: „Takie będzie twoje potomstwo”. Następnie werset 6 mówi: „Abraham uwierzył Panu i poczytał mu to za sprawiedliwość”. Trudno przewidzieć to stwierdzenie, ale jest to po prostu potwierdzenie wiary Abrahama i jego znaczenia.</w:t>
      </w:r>
    </w:p>
    <w:p w14:paraId="07D04B97" w14:textId="77777777" w:rsidR="00B5186A" w:rsidRPr="00100333" w:rsidRDefault="00B5186A" w:rsidP="00170B7C">
      <w:pPr>
        <w:spacing w:line="360" w:lineRule="auto"/>
        <w:ind w:firstLine="720"/>
        <w:rPr>
          <w:rFonts w:ascii="Times New Roman" w:hAnsi="Times New Roman" w:cs="Times New Roman"/>
          <w:sz w:val="26"/>
        </w:rPr>
      </w:pPr>
      <w:r w:rsidRPr="009074EF">
        <w:rPr>
          <w:rFonts w:ascii="Times New Roman" w:hAnsi="Times New Roman" w:cs="Times New Roman"/>
          <w:sz w:val="26"/>
        </w:rPr>
        <w:t xml:space="preserve">Więc kiedy dochodzisz do użycia słowa </w:t>
      </w:r>
      <w:r w:rsidRPr="009074EF">
        <w:rPr>
          <w:rFonts w:ascii="Times New Roman" w:hAnsi="Times New Roman" w:cs="Times New Roman"/>
          <w:i/>
          <w:sz w:val="26"/>
        </w:rPr>
        <w:t xml:space="preserve">„wypełnić” </w:t>
      </w:r>
      <w:r w:rsidRPr="009074EF">
        <w:rPr>
          <w:rFonts w:ascii="Times New Roman" w:hAnsi="Times New Roman" w:cs="Times New Roman"/>
          <w:sz w:val="26"/>
        </w:rPr>
        <w:t xml:space="preserve">w Liście Jakuba 2:23, odnosząc się do tego wersetu z Księgi Rodzaju 15:6, myślę, że musisz powiedzieć, że w tym momencie jest to bardziej formuła cytatu niż wskazuje proroctwo i spełnienie. W twojej bibliografii jest artykuł R. Lairda Harrisa pod tym nagłówkiem. Artykuł znajduje się na stronie 11 waszej bibliografii zatytułowanej „Prophecy, Illustration, and Typology” in the </w:t>
      </w:r>
      <w:r w:rsidR="003B3C34" w:rsidRPr="003B3C34">
        <w:rPr>
          <w:rFonts w:ascii="Times New Roman" w:hAnsi="Times New Roman" w:cs="Times New Roman"/>
          <w:i/>
          <w:sz w:val="26"/>
        </w:rPr>
        <w:t xml:space="preserve">Interpretation of History </w:t>
      </w:r>
      <w:r w:rsidR="00100333">
        <w:rPr>
          <w:rFonts w:ascii="Times New Roman" w:hAnsi="Times New Roman" w:cs="Times New Roman"/>
          <w:sz w:val="26"/>
        </w:rPr>
        <w:t xml:space="preserve">, tomie opublikowanym na cześć dr Allana MacRae, założyciela tej szkoły, opublikowanym w 1986 roku. Używa on tego zwrotu, którego właśnie użyłem , „Formuła cytowania”, dla takich odniesień. </w:t>
      </w:r>
      <w:r w:rsidR="00AE1444">
        <w:rPr>
          <w:rFonts w:ascii="Times New Roman" w:hAnsi="Times New Roman" w:cs="Times New Roman"/>
          <w:sz w:val="26"/>
        </w:rPr>
        <w:br/>
      </w:r>
      <w:r w:rsidR="00AE1444">
        <w:rPr>
          <w:rFonts w:ascii="Times New Roman" w:hAnsi="Times New Roman" w:cs="Times New Roman"/>
          <w:sz w:val="26"/>
        </w:rPr>
        <w:br/>
        <w:t xml:space="preserve">F. Mateusza 2:17-18 – Jer 31:15 </w:t>
      </w:r>
      <w:r w:rsidR="003B3C34">
        <w:rPr>
          <w:rFonts w:ascii="Times New Roman" w:hAnsi="Times New Roman" w:cs="Times New Roman"/>
          <w:sz w:val="26"/>
        </w:rPr>
        <w:tab/>
      </w:r>
      <w:r w:rsidR="00B340FD">
        <w:rPr>
          <w:rFonts w:ascii="Times New Roman" w:hAnsi="Times New Roman" w:cs="Times New Roman"/>
          <w:sz w:val="26"/>
        </w:rPr>
        <w:t xml:space="preserve">Podobny jest Mateusz 2:17-18, gdzie czytamy: „Wtedy spełniło się to, co zostało powiedziane przez proroka Jeremiasza: 'Głos słychać w Rama, płacz i wielka żałość , </w:t>
      </w:r>
      <w:r w:rsidRPr="009074EF">
        <w:rPr>
          <w:rStyle w:val="p"/>
          <w:rFonts w:ascii="Times New Roman" w:hAnsi="Times New Roman" w:cs="Times New Roman"/>
          <w:sz w:val="26"/>
        </w:rPr>
        <w:t xml:space="preserve">Rachela opłakująca swoje dzieci, nie dająca się pocieszyć, bo ich już nie ma'” i to jest Księga Jeremiasza 31:15. Jeśli wrócisz do Jeremiasza 31:15, przeczytasz: „Głos słychać w Rama, lament i wielki płacz; Rachel opłakująca swoje dzieci; i nie daje się pocieszyć, bo jej dzieci już nie ma”. W kontekście odnosi się to do płaczu nad wygnańcami z niewoli babilońskiej. </w:t>
      </w:r>
      <w:r w:rsidR="00AE1444">
        <w:rPr>
          <w:rStyle w:val="p"/>
          <w:rFonts w:ascii="Times New Roman" w:hAnsi="Times New Roman" w:cs="Times New Roman"/>
          <w:sz w:val="26"/>
        </w:rPr>
        <w:br/>
      </w:r>
      <w:r w:rsidR="00AE1444">
        <w:rPr>
          <w:rStyle w:val="p"/>
          <w:rFonts w:ascii="Times New Roman" w:hAnsi="Times New Roman" w:cs="Times New Roman"/>
          <w:sz w:val="26"/>
        </w:rPr>
        <w:br/>
        <w:t xml:space="preserve">G. Formuła cytowania Plerono </w:t>
      </w:r>
      <w:r w:rsidR="00AE1444">
        <w:rPr>
          <w:rStyle w:val="p"/>
          <w:rFonts w:ascii="Times New Roman" w:hAnsi="Times New Roman" w:cs="Times New Roman"/>
          <w:sz w:val="26"/>
        </w:rPr>
        <w:tab/>
      </w:r>
      <w:r w:rsidRPr="009074EF">
        <w:rPr>
          <w:rStyle w:val="p"/>
          <w:rFonts w:ascii="Times New Roman" w:hAnsi="Times New Roman" w:cs="Times New Roman"/>
          <w:sz w:val="26"/>
        </w:rPr>
        <w:t xml:space="preserve">Nie jest to stwierdzenie przewidujące, ale zarówno List Jakuba 2:21-23, jak i Mateusza 2:17-18, odnosząc się do tych dwóch tekstów Starego Testamentu, które nie były </w:t>
      </w:r>
      <w:r w:rsidR="003B3C34">
        <w:rPr>
          <w:rStyle w:val="p"/>
          <w:rFonts w:ascii="Times New Roman" w:hAnsi="Times New Roman" w:cs="Times New Roman"/>
          <w:sz w:val="26"/>
        </w:rPr>
        <w:t xml:space="preserve">tekstami „przepowiadającymi”, używają tego </w:t>
      </w:r>
      <w:r w:rsidR="003B3C34">
        <w:rPr>
          <w:rStyle w:val="p"/>
          <w:rFonts w:ascii="Times New Roman" w:hAnsi="Times New Roman" w:cs="Times New Roman"/>
          <w:sz w:val="26"/>
        </w:rPr>
        <w:lastRenderedPageBreak/>
        <w:t xml:space="preserve">czasownika </w:t>
      </w:r>
      <w:r w:rsidR="00100333">
        <w:rPr>
          <w:rStyle w:val="p"/>
          <w:rFonts w:ascii="Times New Roman" w:hAnsi="Times New Roman" w:cs="Times New Roman"/>
          <w:i/>
          <w:sz w:val="26"/>
        </w:rPr>
        <w:t xml:space="preserve">plerono , </w:t>
      </w:r>
      <w:r w:rsidRPr="009074EF">
        <w:rPr>
          <w:rStyle w:val="p"/>
          <w:rFonts w:ascii="Times New Roman" w:hAnsi="Times New Roman" w:cs="Times New Roman"/>
          <w:sz w:val="26"/>
        </w:rPr>
        <w:t xml:space="preserve">aby się do nich odnieść. Czy to oznacza, że zostały błędnie zacytowane jako przepowiednie? A może oznacza to, że sposób interpretacji Mateusza był nieuprawniony? Tak sugeruje Harris, sugeruje, że problem jest spowodowany tłumaczeniem </w:t>
      </w:r>
      <w:r w:rsidR="003B3C34" w:rsidRPr="003B3C34">
        <w:rPr>
          <w:rStyle w:val="p"/>
          <w:rFonts w:ascii="Times New Roman" w:hAnsi="Times New Roman" w:cs="Times New Roman"/>
          <w:i/>
          <w:sz w:val="26"/>
        </w:rPr>
        <w:t xml:space="preserve">plerow </w:t>
      </w:r>
      <w:r w:rsidR="003B3C34" w:rsidRPr="009074EF">
        <w:rPr>
          <w:rStyle w:val="p"/>
          <w:rFonts w:ascii="Times New Roman" w:hAnsi="Times New Roman" w:cs="Times New Roman"/>
          <w:sz w:val="26"/>
        </w:rPr>
        <w:t xml:space="preserve">jako „spełniony”. Z pewnością ma to znaczenie w wielu kontekstach. Ale to, co argumentuje Harris, to to, że zawsze oznacza „spełnienie”, nie jest tak pewne i czasami wydaje się, że jest używane jako formuła cytatu, a nie formuła spełnionej prognozy. Należy pamiętać o tym szerszym zastosowaniu, ale zazwyczaj występuje ono w jakiejś formie </w:t>
      </w:r>
      <w:r w:rsidR="003B3C34" w:rsidRPr="003B3C34">
        <w:rPr>
          <w:rStyle w:val="p"/>
          <w:rFonts w:ascii="Times New Roman" w:hAnsi="Times New Roman" w:cs="Times New Roman"/>
          <w:i/>
          <w:sz w:val="26"/>
        </w:rPr>
        <w:t>hina</w:t>
      </w:r>
      <w:r w:rsidR="003B3C34">
        <w:rPr>
          <w:rStyle w:val="p"/>
          <w:rFonts w:ascii="Times New Roman" w:hAnsi="Times New Roman" w:cs="Times New Roman"/>
          <w:sz w:val="26"/>
        </w:rPr>
        <w:t xml:space="preserve"> </w:t>
      </w:r>
      <w:r w:rsidR="00100333">
        <w:rPr>
          <w:rStyle w:val="p"/>
          <w:rFonts w:ascii="Times New Roman" w:hAnsi="Times New Roman" w:cs="Times New Roman"/>
          <w:i/>
          <w:sz w:val="26"/>
        </w:rPr>
        <w:t xml:space="preserve">plerow </w:t>
      </w:r>
      <w:r w:rsidR="003B3C34" w:rsidRPr="009074EF">
        <w:rPr>
          <w:rStyle w:val="p"/>
          <w:rFonts w:ascii="Times New Roman" w:hAnsi="Times New Roman" w:cs="Times New Roman"/>
          <w:sz w:val="26"/>
        </w:rPr>
        <w:t xml:space="preserve">, kiedy jest proroctwo prorocze, ale trzeba być ostrożnym. </w:t>
      </w:r>
      <w:r w:rsidR="00AE1444">
        <w:rPr>
          <w:rStyle w:val="p"/>
          <w:rFonts w:ascii="Times New Roman" w:hAnsi="Times New Roman" w:cs="Times New Roman"/>
          <w:sz w:val="26"/>
        </w:rPr>
        <w:br/>
      </w:r>
      <w:r w:rsidR="00AE1444">
        <w:rPr>
          <w:rStyle w:val="p"/>
          <w:rFonts w:ascii="Times New Roman" w:hAnsi="Times New Roman" w:cs="Times New Roman"/>
          <w:sz w:val="26"/>
        </w:rPr>
        <w:br/>
        <w:t xml:space="preserve">H. Formuła cytowania Gegrapti </w:t>
      </w:r>
      <w:r w:rsidR="003B3C34">
        <w:rPr>
          <w:rStyle w:val="p"/>
          <w:rFonts w:ascii="Times New Roman" w:hAnsi="Times New Roman" w:cs="Times New Roman"/>
          <w:sz w:val="26"/>
        </w:rPr>
        <w:tab/>
      </w:r>
      <w:r w:rsidR="00B340FD">
        <w:rPr>
          <w:rStyle w:val="p"/>
          <w:rFonts w:ascii="Times New Roman" w:hAnsi="Times New Roman" w:cs="Times New Roman"/>
          <w:sz w:val="26"/>
        </w:rPr>
        <w:t xml:space="preserve">Druga formuła to </w:t>
      </w:r>
      <w:r w:rsidR="003B3C34" w:rsidRPr="003B3C34">
        <w:rPr>
          <w:rStyle w:val="p"/>
          <w:rFonts w:ascii="Times New Roman" w:hAnsi="Times New Roman" w:cs="Times New Roman"/>
          <w:i/>
          <w:sz w:val="26"/>
        </w:rPr>
        <w:t xml:space="preserve">gegraptai, </w:t>
      </w:r>
      <w:r w:rsidRPr="009074EF">
        <w:rPr>
          <w:rStyle w:val="p"/>
          <w:rFonts w:ascii="Times New Roman" w:hAnsi="Times New Roman" w:cs="Times New Roman"/>
          <w:sz w:val="26"/>
        </w:rPr>
        <w:t xml:space="preserve">„zostało napisane”. Ponownie, to też często pokazuje spełnienie. Jednak czasami jest to po prostu odniesienie. Wypełnienie znajduje się w Ewangelii Marka 1:2: „Napisano u proroka Izajasza”, a następnie w cytacie z Księgi Izajasza 40:3: „ </w:t>
      </w:r>
      <w:r w:rsidRPr="009074EF">
        <w:rPr>
          <w:rFonts w:ascii="Times New Roman" w:hAnsi="Times New Roman" w:cs="Times New Roman"/>
          <w:sz w:val="26"/>
        </w:rPr>
        <w:t xml:space="preserve">Wyślę przed tobą mego posłańca, który przygotuje ci drogę; głos wołającego na pustyni: Przygotujcie Panu drogę, prostujcie dla Niego ścieżki”. Więc przyszedł Jan, więc w tym wersecie jest wypełnienie. Odniesienie w Ew. Mateusza 4:4; „Jezus odpowiedział:„ </w:t>
      </w:r>
      <w:r w:rsidRPr="00100333">
        <w:rPr>
          <w:rFonts w:ascii="Times New Roman" w:hAnsi="Times New Roman" w:cs="Times New Roman"/>
          <w:i/>
          <w:iCs/>
          <w:sz w:val="26"/>
        </w:rPr>
        <w:t xml:space="preserve">Napisano </w:t>
      </w:r>
      <w:r w:rsidRPr="00100333">
        <w:rPr>
          <w:rFonts w:ascii="Times New Roman" w:hAnsi="Times New Roman" w:cs="Times New Roman"/>
          <w:sz w:val="26"/>
        </w:rPr>
        <w:t xml:space="preserve">: „Nie samym chlebem żyje człowiek, ale każdym słowem, które pochodzi z ust Bożych”. ale to jest cytowanie. </w:t>
      </w:r>
      <w:r w:rsidR="00AE1444">
        <w:rPr>
          <w:rFonts w:ascii="Times New Roman" w:hAnsi="Times New Roman" w:cs="Times New Roman"/>
          <w:sz w:val="26"/>
        </w:rPr>
        <w:br/>
      </w:r>
      <w:r w:rsidR="00AE1444">
        <w:rPr>
          <w:rFonts w:ascii="Times New Roman" w:hAnsi="Times New Roman" w:cs="Times New Roman"/>
          <w:sz w:val="26"/>
        </w:rPr>
        <w:br/>
        <w:t>I. klocki Lego</w:t>
      </w:r>
    </w:p>
    <w:p w14:paraId="5CF089BD" w14:textId="77777777" w:rsidR="00B5186A" w:rsidRPr="009074EF" w:rsidRDefault="00B5186A" w:rsidP="00170B7C">
      <w:pPr>
        <w:spacing w:line="360" w:lineRule="auto"/>
        <w:ind w:firstLine="720"/>
        <w:rPr>
          <w:rFonts w:ascii="Times New Roman" w:hAnsi="Times New Roman" w:cs="Times New Roman"/>
          <w:sz w:val="26"/>
        </w:rPr>
      </w:pPr>
      <w:r w:rsidRPr="00100333">
        <w:rPr>
          <w:rFonts w:ascii="Times New Roman" w:hAnsi="Times New Roman" w:cs="Times New Roman"/>
          <w:sz w:val="26"/>
        </w:rPr>
        <w:t xml:space="preserve">Przejdźmy do form </w:t>
      </w:r>
      <w:r w:rsidR="003B3C34" w:rsidRPr="00100333">
        <w:rPr>
          <w:rFonts w:ascii="Times New Roman" w:hAnsi="Times New Roman" w:cs="Times New Roman"/>
          <w:i/>
          <w:sz w:val="26"/>
        </w:rPr>
        <w:t xml:space="preserve">lego </w:t>
      </w:r>
      <w:r w:rsidR="003B3C34" w:rsidRPr="00100333">
        <w:rPr>
          <w:rFonts w:ascii="Times New Roman" w:hAnsi="Times New Roman" w:cs="Times New Roman"/>
          <w:sz w:val="26"/>
        </w:rPr>
        <w:t xml:space="preserve">(mówię). Kiedy stoi samo w sobie, zwykle wskazuje na odniesienie historyczne, a nie proroctwo i spełnienie. Spójrz na Mateusza 22:31: „Lecz o zmartwychwstaniu umarłych, czy nie czytaliście, co Bóg </w:t>
      </w:r>
      <w:r w:rsidRPr="00100333">
        <w:rPr>
          <w:rFonts w:ascii="Times New Roman" w:hAnsi="Times New Roman" w:cs="Times New Roman"/>
          <w:sz w:val="26"/>
        </w:rPr>
        <w:t xml:space="preserve">wam </w:t>
      </w:r>
      <w:r w:rsidRPr="00100333">
        <w:rPr>
          <w:rFonts w:ascii="Times New Roman" w:hAnsi="Times New Roman" w:cs="Times New Roman"/>
          <w:i/>
          <w:sz w:val="26"/>
        </w:rPr>
        <w:t xml:space="preserve">powiedział ?” </w:t>
      </w:r>
      <w:r w:rsidRPr="00100333">
        <w:rPr>
          <w:rFonts w:ascii="Times New Roman" w:hAnsi="Times New Roman" w:cs="Times New Roman"/>
          <w:sz w:val="26"/>
        </w:rPr>
        <w:t xml:space="preserve">A potem cytat z Księgi Wyjścia 3:6: „Ja jestem Bogiem Abrahama, Bogiem Izaaka i Bogiem Jakuba. On nie jest Bogiem umarłych, lecz żywych”. Jest to po prostu odniesienie do tekstu Starego Testamentu. Dzieje Apostolskie 7:48 „Jednak Najwyższy nie mieszka w domach zbudowanych ręką ludzką, jak </w:t>
      </w:r>
      <w:r w:rsidRPr="00100333">
        <w:rPr>
          <w:rFonts w:ascii="Times New Roman" w:hAnsi="Times New Roman" w:cs="Times New Roman"/>
          <w:i/>
          <w:sz w:val="26"/>
        </w:rPr>
        <w:t xml:space="preserve">mówi prorok </w:t>
      </w:r>
      <w:r w:rsidRPr="00100333">
        <w:rPr>
          <w:rFonts w:ascii="Times New Roman" w:hAnsi="Times New Roman" w:cs="Times New Roman"/>
          <w:sz w:val="26"/>
        </w:rPr>
        <w:t xml:space="preserve">”. Następnie cytatem jest Izajasz 66:1: „Niebo jest moim tronem, ziemia moim podnóżkiem. Gdzie jest dom, który dla </w:t>
      </w:r>
      <w:r w:rsidRPr="00100333">
        <w:rPr>
          <w:rFonts w:ascii="Times New Roman" w:hAnsi="Times New Roman" w:cs="Times New Roman"/>
          <w:sz w:val="26"/>
        </w:rPr>
        <w:lastRenderedPageBreak/>
        <w:t xml:space="preserve">mnie zbudujesz? </w:t>
      </w:r>
      <w:r w:rsidR="00C94FC5" w:rsidRPr="00100333">
        <w:rPr>
          <w:rFonts w:ascii="Times New Roman" w:hAnsi="Times New Roman" w:cs="Times New Roman"/>
          <w:sz w:val="26"/>
        </w:rPr>
        <w:t xml:space="preserve">— mówi Pan. ‚Gdzie będzie moje miejsce spoczynku?'” To nie jest prorocze stwierdzenie. Więc to wszystko jest w 3., „Zwróć uwagę na cytowanie spełnienia”. Z pewnością pomogą we wskazówkach i identyfikowaniu proroczych </w:t>
      </w:r>
      <w:r w:rsidRPr="00100333">
        <w:rPr>
          <w:rFonts w:asciiTheme="majorBidi" w:hAnsiTheme="majorBidi" w:cstheme="majorBidi"/>
          <w:sz w:val="26"/>
          <w:szCs w:val="26"/>
        </w:rPr>
        <w:t xml:space="preserve">fragmentów, które są punktem spełnienia, ale trzeba na to uważać. </w:t>
      </w:r>
      <w:r w:rsidR="00AE1444">
        <w:rPr>
          <w:rFonts w:asciiTheme="majorBidi" w:hAnsiTheme="majorBidi" w:cstheme="majorBidi"/>
          <w:sz w:val="26"/>
          <w:szCs w:val="26"/>
        </w:rPr>
        <w:br/>
      </w:r>
      <w:r w:rsidR="00AE1444">
        <w:rPr>
          <w:rFonts w:asciiTheme="majorBidi" w:hAnsiTheme="majorBidi" w:cstheme="majorBidi"/>
          <w:sz w:val="26"/>
          <w:szCs w:val="26"/>
        </w:rPr>
        <w:br/>
        <w:t>4. Unikaj idei podwójnego spełnienia lub podwójnego odniesienia</w:t>
      </w:r>
      <w:r w:rsidR="00100333">
        <w:rPr>
          <w:rFonts w:asciiTheme="majorBidi" w:hAnsiTheme="majorBidi" w:cstheme="majorBidi"/>
          <w:sz w:val="26"/>
          <w:szCs w:val="26"/>
        </w:rPr>
        <w:br/>
        <w:t xml:space="preserve">  </w:t>
      </w:r>
      <w:r w:rsidR="00100333">
        <w:rPr>
          <w:rFonts w:asciiTheme="majorBidi" w:hAnsiTheme="majorBidi" w:cstheme="majorBidi"/>
          <w:sz w:val="26"/>
          <w:szCs w:val="26"/>
        </w:rPr>
        <w:tab/>
        <w:t xml:space="preserve">4, </w:t>
      </w:r>
      <w:r w:rsidR="00B02EB5" w:rsidRPr="00100333">
        <w:rPr>
          <w:rFonts w:asciiTheme="majorBidi" w:hAnsiTheme="majorBidi" w:cstheme="majorBidi"/>
          <w:sz w:val="26"/>
          <w:szCs w:val="26"/>
        </w:rPr>
        <w:t xml:space="preserve">„Unikaj idei podwójnego spełnienia lub podwójnego odniesienia”. Myślę, że kiedy szukasz wypełnienia się proroctwa, nie jest dobrze przyjmować ideę podwójnego odniesienia lub podwójnego sensu jako podstawowej zasady hermeneutycznej. Innymi słowy, nie powinniśmy szukać podwójnych odniesień. Nie należy zakładać, że dane proroctwo może odnosić się do dwóch lub więcej różnych wydarzeń w tym samym czasie, używając tych samych słów. Jeśli to zrobisz, oznacza to, że zakładasz, że te same słowa w tym samym kontekście mogą mieć wiele znaczeń. Myślę, że hermeneutycznie niebezpiecznie jest mówić, że te same słowa i ten sam kontekst mają wiele znaczeń, chyba że istnieje jakiś rodzaj dwuznaczności, ale to nie jest ogólna zasada hermeneutyki. Nie używamy języka w ten sposób. Zwykle, gdy wypowiadane jest stwierdzenie, istnieje intencja o określonym znaczeniu, które niesie ze sobą to stwierdzenie i jest to znaczenie, które osoba, która je słyszy, powinna je zrozumieć. Myślę, że ta koncepcja odnosi się do wszystkich stwierdzeń biblijnych, nie tylko do przewidywań, ale z pewnością odnosi się również do form przewidywań. Szukasz pojedynczego sensu lub znaczenia danego stwierdzenia, nie szukasz wielorakich znaczeń lub znaczeń stwierdzeń biblijnych. </w:t>
      </w:r>
      <w:r w:rsidR="00AE1444">
        <w:rPr>
          <w:rFonts w:asciiTheme="majorBidi" w:hAnsiTheme="majorBidi" w:cstheme="majorBidi"/>
          <w:sz w:val="26"/>
          <w:szCs w:val="26"/>
        </w:rPr>
        <w:br/>
      </w:r>
      <w:r w:rsidR="00AE1444">
        <w:rPr>
          <w:rFonts w:asciiTheme="majorBidi" w:hAnsiTheme="majorBidi" w:cstheme="majorBidi"/>
          <w:sz w:val="26"/>
          <w:szCs w:val="26"/>
        </w:rPr>
        <w:br/>
        <w:t xml:space="preserve">A. Dwight Pentecost – Double Reference </w:t>
      </w:r>
      <w:r w:rsidR="00100333">
        <w:rPr>
          <w:rFonts w:asciiTheme="majorBidi" w:hAnsiTheme="majorBidi" w:cstheme="majorBidi"/>
          <w:sz w:val="26"/>
          <w:szCs w:val="26"/>
        </w:rPr>
        <w:tab/>
        <w:t xml:space="preserve">Spójrz na stronę 28 </w:t>
      </w:r>
      <w:r w:rsidR="00B02EB5" w:rsidRPr="00B02EB5">
        <w:rPr>
          <w:rFonts w:asciiTheme="majorBidi" w:hAnsiTheme="majorBidi" w:cstheme="majorBidi"/>
          <w:sz w:val="26"/>
          <w:szCs w:val="26"/>
        </w:rPr>
        <w:t xml:space="preserve">w swoich cytatach pod Dwight Pentecost, który napisał tom o eschatologii zatytułowany </w:t>
      </w:r>
      <w:r w:rsidR="00100333" w:rsidRPr="00100333">
        <w:rPr>
          <w:rFonts w:asciiTheme="majorBidi" w:hAnsiTheme="majorBidi" w:cstheme="majorBidi"/>
          <w:i/>
          <w:sz w:val="26"/>
          <w:szCs w:val="26"/>
        </w:rPr>
        <w:t xml:space="preserve">Things to Come, </w:t>
      </w:r>
      <w:r w:rsidR="00B02EB5" w:rsidRPr="00B02EB5">
        <w:rPr>
          <w:rFonts w:asciiTheme="majorBidi" w:hAnsiTheme="majorBidi" w:cstheme="majorBidi"/>
          <w:sz w:val="26"/>
          <w:szCs w:val="26"/>
        </w:rPr>
        <w:t xml:space="preserve">w którym mówi o „prawie podwójnego odniesienia”. Z jego punktu widzenia „niewiele praw jest ważniejszych do przestrzegania w interpretacji Pisma proroczego niż prawo podwójnego odniesienia. Dwa wydarzenia, znacznie oddzielone czasem ich wypełnienia, mogą zostać połączone w jednym proroctwie. Stało się tak, ponieważ prorok miał przesłanie na swoje dni, jak również na przyszłość. </w:t>
      </w:r>
      <w:r w:rsidR="00100333">
        <w:rPr>
          <w:rFonts w:asciiTheme="majorBidi" w:hAnsiTheme="majorBidi" w:cstheme="majorBidi"/>
          <w:sz w:val="26"/>
          <w:szCs w:val="26"/>
        </w:rPr>
        <w:t xml:space="preserve">Objęcie </w:t>
      </w:r>
      <w:r w:rsidR="00B02EB5" w:rsidRPr="00B02EB5">
        <w:rPr>
          <w:rFonts w:asciiTheme="majorBidi" w:hAnsiTheme="majorBidi" w:cstheme="majorBidi"/>
          <w:sz w:val="26"/>
          <w:szCs w:val="26"/>
        </w:rPr>
        <w:t xml:space="preserve">proroctwa dwoma odległymi </w:t>
      </w:r>
      <w:r w:rsidR="00B02EB5" w:rsidRPr="00B02EB5">
        <w:rPr>
          <w:rFonts w:asciiTheme="majorBidi" w:hAnsiTheme="majorBidi" w:cstheme="majorBidi"/>
          <w:sz w:val="26"/>
          <w:szCs w:val="26"/>
        </w:rPr>
        <w:lastRenderedPageBreak/>
        <w:t>od siebie wydarzeniami mogło spełnić oba cele”. Następnie cytuje innego człowieka o imieniu Horne: „Te same proroctwa często mają podwójne znaczenie i odnoszą się do różnych wydarzeń, jednego bliskiego, drugiego odległego; jeden doczesny, drugi duchowy, a może wieczny. Ponieważ prorocy mają na uwadze kilka wydarzeń, ich wypowiedzi mogą częściowo odnosić się do jednego, a częściowo do drugiego. Przejście nie zawsze jest łatwe. To, co nie zostało spełnione w pierwszym, musimy odnieść do drugiego, a to, co już się spełniło, często można uznać za typowe dla tego, co pozostaje do wykonania”.</w:t>
      </w:r>
      <w:r w:rsidR="00B02EB5" w:rsidRPr="00B02EB5">
        <w:rPr>
          <w:rFonts w:asciiTheme="majorBidi" w:hAnsiTheme="majorBidi" w:cstheme="majorBidi"/>
          <w:sz w:val="26"/>
          <w:szCs w:val="26"/>
        </w:rPr>
        <w:br/>
        <w:t xml:space="preserve"> </w:t>
      </w:r>
      <w:r w:rsidR="00B02EB5" w:rsidRPr="00B02EB5">
        <w:rPr>
          <w:rFonts w:asciiTheme="majorBidi" w:hAnsiTheme="majorBidi" w:cstheme="majorBidi"/>
          <w:sz w:val="26"/>
          <w:szCs w:val="26"/>
        </w:rPr>
        <w:tab/>
        <w:t xml:space="preserve">Teraz, jak to rozpracujesz, musisz spojrzeć na </w:t>
      </w:r>
      <w:r w:rsidR="00B340FD">
        <w:rPr>
          <w:rFonts w:asciiTheme="majorBidi" w:hAnsiTheme="majorBidi" w:cstheme="majorBidi"/>
          <w:sz w:val="26"/>
          <w:szCs w:val="26"/>
        </w:rPr>
        <w:t>konkretne fragmenty, ale taka jest koncepcja. Jeśli pójdziesz do Erica Sauera, następny wpis na s. 29. Sauer mówi: „Wszystko jest uwarunkowane historycznie, a jednocześnie przeniknięte wiecznością. Wszystko jest jednocześnie ludzkie i boskie, doczesne i ponadczasowe”. A mówiąc o prorokach: „Mówią o powrocie z Babilonu i jednocześnie obiecują zgromadzenie Izraela w dalekiej przyszłości, inaugurujące królestwo pokoju (Izajasz 11:11-16)”. Właśnie rozmawialiśmy o Księdze Izajasza 11:11-16. Widzicie, co on mówi, że proroctwo mówi o powrocie z wygnania. Ale jednocześnie i tymi samymi słowami mówi także o przyszłym królestwie pokoju – eschatologicznym. Ma podwójne znaczenie, podwójne odniesienie do tych samych słów.</w:t>
      </w:r>
      <w:r w:rsidR="00B02EB5" w:rsidRPr="00B02EB5">
        <w:rPr>
          <w:rFonts w:asciiTheme="majorBidi" w:hAnsiTheme="majorBidi" w:cstheme="majorBidi"/>
          <w:sz w:val="26"/>
          <w:szCs w:val="26"/>
        </w:rPr>
        <w:br/>
        <w:t xml:space="preserve"> </w:t>
      </w:r>
      <w:r w:rsidR="00B02EB5" w:rsidRPr="00B02EB5">
        <w:rPr>
          <w:rFonts w:asciiTheme="majorBidi" w:hAnsiTheme="majorBidi" w:cstheme="majorBidi"/>
          <w:sz w:val="26"/>
          <w:szCs w:val="26"/>
        </w:rPr>
        <w:tab/>
        <w:t xml:space="preserve">W tomie zatytułowanym </w:t>
      </w:r>
      <w:r w:rsidR="00B02EB5" w:rsidRPr="00B02EB5">
        <w:rPr>
          <w:rFonts w:asciiTheme="majorBidi" w:hAnsiTheme="majorBidi" w:cstheme="majorBidi"/>
          <w:i/>
          <w:iCs/>
          <w:sz w:val="26"/>
          <w:szCs w:val="26"/>
        </w:rPr>
        <w:t>Wprowadzenie do</w:t>
      </w:r>
      <w:r w:rsidR="00B02EB5" w:rsidRPr="00B02EB5">
        <w:rPr>
          <w:rFonts w:asciiTheme="majorBidi" w:hAnsiTheme="majorBidi" w:cstheme="majorBidi"/>
          <w:sz w:val="26"/>
          <w:szCs w:val="26"/>
        </w:rPr>
        <w:t xml:space="preserve"> </w:t>
      </w:r>
      <w:r w:rsidR="00B02EB5" w:rsidRPr="00B02EB5">
        <w:rPr>
          <w:rFonts w:asciiTheme="majorBidi" w:hAnsiTheme="majorBidi" w:cstheme="majorBidi"/>
          <w:i/>
          <w:iCs/>
          <w:sz w:val="26"/>
          <w:szCs w:val="26"/>
        </w:rPr>
        <w:t xml:space="preserve">Biblijna interpretacja </w:t>
      </w:r>
      <w:r w:rsidR="00B02EB5" w:rsidRPr="00B02EB5">
        <w:rPr>
          <w:rFonts w:asciiTheme="majorBidi" w:hAnsiTheme="majorBidi" w:cstheme="majorBidi"/>
          <w:sz w:val="26"/>
          <w:szCs w:val="26"/>
        </w:rPr>
        <w:t xml:space="preserve">Kleina, Blomberga i Hubbarda, opublikowana przez Word w 1993 r., mówi: „Musimy dodać drugą cechę proroctwa: może ono mieć dwa wypełnienia, jedno bliskie życia proroka i jedno dawno temu”. Kiedy patrzysz na proroctwo i prosisz o jego wypełnienie, jedno jest w bliższej i bardziej odległej przyszłości. Wszystkie są wymienione w tym samym oświadczeniu. Jest całkiem sporo ludzi, którzy twierdzą, że ta zasada, lub jak nazywa ją Pięćdziesiątnica, „prawo podwójnego odniesienia” jest zasadą, którą należy stosować w interpretacji proroczych stwierdzeń – szukając wielu odniesień. </w:t>
      </w:r>
      <w:r w:rsidR="00AE1444">
        <w:rPr>
          <w:rFonts w:asciiTheme="majorBidi" w:hAnsiTheme="majorBidi" w:cstheme="majorBidi"/>
          <w:sz w:val="26"/>
          <w:szCs w:val="26"/>
        </w:rPr>
        <w:br/>
      </w:r>
      <w:r w:rsidR="00AE1444">
        <w:rPr>
          <w:rFonts w:asciiTheme="majorBidi" w:hAnsiTheme="majorBidi" w:cstheme="majorBidi"/>
          <w:sz w:val="26"/>
          <w:szCs w:val="26"/>
        </w:rPr>
        <w:br/>
        <w:t xml:space="preserve">B. Odpowiedź Vannoya </w:t>
      </w:r>
      <w:r w:rsidR="00B02EB5" w:rsidRPr="00B02EB5">
        <w:rPr>
          <w:rFonts w:asciiTheme="majorBidi" w:hAnsiTheme="majorBidi" w:cstheme="majorBidi"/>
          <w:sz w:val="26"/>
          <w:szCs w:val="26"/>
        </w:rPr>
        <w:tab/>
        <w:t xml:space="preserve">Sugeruję, że nie wydaje mi się to słuszne. </w:t>
      </w:r>
      <w:r w:rsidR="008F7092">
        <w:rPr>
          <w:rFonts w:asciiTheme="majorBidi" w:hAnsiTheme="majorBidi" w:cstheme="majorBidi"/>
          <w:sz w:val="26"/>
          <w:szCs w:val="26"/>
        </w:rPr>
        <w:t xml:space="preserve">Wracamy do tego, jak </w:t>
      </w:r>
      <w:r w:rsidR="00B02EB5" w:rsidRPr="00B02EB5">
        <w:rPr>
          <w:rFonts w:asciiTheme="majorBidi" w:hAnsiTheme="majorBidi" w:cstheme="majorBidi"/>
          <w:sz w:val="26"/>
          <w:szCs w:val="26"/>
        </w:rPr>
        <w:t xml:space="preserve">działa język. Czy używamy języka, aby mieć te same słowa i ten sam kontekst, </w:t>
      </w:r>
      <w:r w:rsidR="00100333">
        <w:rPr>
          <w:rFonts w:asciiTheme="majorBidi" w:hAnsiTheme="majorBidi" w:cstheme="majorBidi"/>
          <w:sz w:val="26"/>
          <w:szCs w:val="26"/>
        </w:rPr>
        <w:t xml:space="preserve">ale </w:t>
      </w:r>
      <w:r w:rsidR="00100333">
        <w:rPr>
          <w:rFonts w:asciiTheme="majorBidi" w:hAnsiTheme="majorBidi" w:cstheme="majorBidi"/>
          <w:sz w:val="26"/>
          <w:szCs w:val="26"/>
        </w:rPr>
        <w:lastRenderedPageBreak/>
        <w:t>mówimy dwie różne rzeczy? Cofasz się w historię interpretacji, Luter i Kalwin zdecydowanie się temu sprzeciwiają, ale oczywiście spierają się na tle interpretacji alegorycznej, jeśli masz wiele znaczeń. Podkreślali, że pierwszym obowiązkiem tłumacza jest dotarcie do sensu tekstu zamierzonego przez jego autora. Luter powiedział: „Tylko jedyny, właściwy, pierwotny sens, sens, w jakim jest napisana, czyni dobrych teologów. Duch Święty jest najprostszym pisarzem i mówcą w niebie i na ziemi. Dlatego jego słowa nie mogą mieć więcej niż pojedynczy i prosty sens, który nazywamy sensem pisanym lub dosłownie mówionym”.</w:t>
      </w:r>
      <w:r w:rsidR="008F7092">
        <w:rPr>
          <w:rFonts w:asciiTheme="majorBidi" w:hAnsiTheme="majorBidi" w:cstheme="majorBidi"/>
          <w:sz w:val="26"/>
          <w:szCs w:val="26"/>
        </w:rPr>
        <w:br/>
        <w:t xml:space="preserve"> </w:t>
      </w:r>
      <w:r w:rsidR="008F7092">
        <w:rPr>
          <w:rFonts w:asciiTheme="majorBidi" w:hAnsiTheme="majorBidi" w:cstheme="majorBidi"/>
          <w:sz w:val="26"/>
          <w:szCs w:val="26"/>
        </w:rPr>
        <w:tab/>
      </w:r>
      <w:r w:rsidR="00B02EB5" w:rsidRPr="00B02EB5">
        <w:rPr>
          <w:rFonts w:asciiTheme="majorBidi" w:hAnsiTheme="majorBidi" w:cstheme="majorBidi"/>
          <w:sz w:val="26"/>
          <w:szCs w:val="26"/>
        </w:rPr>
        <w:t xml:space="preserve">W Westminster Confession of Faith, rozdział 1, rozdział 9, znajduje się interesujące stwierdzenie na temat Pisma Świętego i jego interpretacji, a ja chcę przeczytać wam kilka krótkich stwierdzeń: „Nieomylną zasadą interpretacji Pisma Świętego jest samo Pismo; i dlatego, kiedy pojawia się pytanie o prawdziwy i fałszywy sens jakiegokolwiek Pisma”, a następnie pojawia się stwierdzenie w nawiasach, do którego chciałem dotrzeć, „(które nie jest wielorakie, ale jedno), można je przeszukać i znane z innych miejsc, które mówią wyraźniej”. Widzicie więc, że chodzi tutaj o to, że interpretacje niektórych fragmentów są bardziej jasne. Używasz bardziej jasnego, aby pomóc z mniej jasnym. Ale w kontekście wygłoszenia tego stwierdzenia jest to stwierdzenie w nawiasie: „Kiedy pojawia się kwestia prawdziwego i fałszywego sensu jakiegokolwiek Pisma (które nie jest wielorakie, ale jedno), można je przeszukać i poznać w innych miejscach, o których mowa jaśniej." </w:t>
      </w:r>
      <w:r w:rsidRPr="009074EF">
        <w:rPr>
          <w:rFonts w:ascii="Times New Roman" w:hAnsi="Times New Roman" w:cs="Times New Roman"/>
          <w:sz w:val="26"/>
        </w:rPr>
        <w:t xml:space="preserve">Myślę, że to ważna zasada hermeneutyczna. </w:t>
      </w:r>
      <w:r w:rsidR="00AE1444">
        <w:rPr>
          <w:rFonts w:ascii="Times New Roman" w:hAnsi="Times New Roman" w:cs="Times New Roman"/>
          <w:sz w:val="26"/>
        </w:rPr>
        <w:br/>
      </w:r>
      <w:r w:rsidR="00AE1444">
        <w:rPr>
          <w:rFonts w:ascii="Times New Roman" w:hAnsi="Times New Roman" w:cs="Times New Roman"/>
          <w:sz w:val="26"/>
        </w:rPr>
        <w:br/>
        <w:t xml:space="preserve">C. Wiele poziomów znaczenia Johna Brighta </w:t>
      </w:r>
      <w:r w:rsidR="008F7092">
        <w:rPr>
          <w:rFonts w:ascii="Times New Roman" w:hAnsi="Times New Roman" w:cs="Times New Roman"/>
          <w:sz w:val="26"/>
        </w:rPr>
        <w:tab/>
      </w:r>
      <w:r w:rsidR="007B3BAB">
        <w:rPr>
          <w:rFonts w:ascii="Times New Roman" w:hAnsi="Times New Roman" w:cs="Times New Roman"/>
          <w:sz w:val="26"/>
        </w:rPr>
        <w:t xml:space="preserve">Spójrz na swoje cytaty, strona 25. To pochodzi z książki Johna Brighta, </w:t>
      </w:r>
      <w:r w:rsidRPr="008F7092">
        <w:rPr>
          <w:rFonts w:ascii="Times New Roman" w:hAnsi="Times New Roman" w:cs="Times New Roman"/>
          <w:i/>
          <w:iCs/>
          <w:sz w:val="26"/>
        </w:rPr>
        <w:t xml:space="preserve">Autorytet Starego Testamentu </w:t>
      </w:r>
      <w:r w:rsidRPr="009074EF">
        <w:rPr>
          <w:rFonts w:ascii="Times New Roman" w:hAnsi="Times New Roman" w:cs="Times New Roman"/>
          <w:sz w:val="26"/>
        </w:rPr>
        <w:t xml:space="preserve">. Mówi: „Powszechnie wierzono, że Pismo Święte ma różne poziomy znaczenia. Orygenes miał potrójny sens odpowiadający domniemanej trychotomii natury człowieka: ciało, dusza i duch. Istniał sens dosłowny lub cielesny (to znaczy to, co mówią słowa w ich zwykłym znaczeniu), sens moralny lub tropologiczny (to znaczy zmysł symboliczny duszy chrześcijańskiej, który w ten sposób daje zbudowanie i kierownictwo postępowania ) </w:t>
      </w:r>
      <w:r w:rsidR="007B3BAB">
        <w:rPr>
          <w:rFonts w:ascii="Times New Roman" w:hAnsi="Times New Roman" w:cs="Times New Roman"/>
          <w:sz w:val="26"/>
        </w:rPr>
        <w:t xml:space="preserve">. oraz duchowy lub </w:t>
      </w:r>
      <w:r w:rsidR="007B3BAB">
        <w:rPr>
          <w:rFonts w:ascii="Times New Roman" w:hAnsi="Times New Roman" w:cs="Times New Roman"/>
          <w:sz w:val="26"/>
        </w:rPr>
        <w:lastRenderedPageBreak/>
        <w:t>mistyczny sens. Później dodano jeszcze czwarty zmysł”. Na to właśnie odpowiadają reformatorzy i Wyznanie Westminsterskie, czwarty zmysł, „sens anagogiczny lub eschatologiczny. Tak więc, by podać klasyczny przykład, słowo „Jerozolima” rozumiane było w średniowieczu jako mające cztery znaczenia: dosłownie odnosiło się do tego miasta w Judzie, tropologicznie, do wiernej chrześcijańskiej duszy, alegorycznie (mistycznie), do Kościół Chrystusowy i analogicznie do niebiańskiego miasta Bożego, które jest naszym wiecznym domem. Możliwe było, choć nie było to konieczne, zrozumienie tego słowa we wszystkich czterech znaczeniach w jednym tekście”.</w:t>
      </w:r>
      <w:r w:rsidR="00AE1444">
        <w:rPr>
          <w:rFonts w:ascii="Times New Roman" w:hAnsi="Times New Roman" w:cs="Times New Roman"/>
          <w:sz w:val="26"/>
        </w:rPr>
        <w:br/>
        <w:t xml:space="preserve"> </w:t>
      </w:r>
      <w:r w:rsidR="00AE1444">
        <w:rPr>
          <w:rFonts w:ascii="Times New Roman" w:hAnsi="Times New Roman" w:cs="Times New Roman"/>
          <w:sz w:val="26"/>
        </w:rPr>
        <w:tab/>
      </w:r>
      <w:r w:rsidRPr="009074EF">
        <w:rPr>
          <w:rFonts w:ascii="Times New Roman" w:hAnsi="Times New Roman" w:cs="Times New Roman"/>
          <w:sz w:val="26"/>
        </w:rPr>
        <w:t xml:space="preserve">Więc nie masz podwójnego odniesienia, masz czterokrotne odniesienie. „Jednak istniała tendencja do przywiązywania większej wagi do znaczenia dosłownego niż do znaczenia duchowego, ponieważ prawdziwe znaczenie tekstu jest duchowe. Rzeczywiście, niektóre Pisma — jak sądzono — nie mogą być interpretowane dosłownie, ponieważ mówią o rzeczach niemoralnych, a zatem niegodnych Boga (cudzołóstwo, kazirodztwo, morderstwo itp.), a wiele Pism jest zbyt prymitywnych lub zbyt trywialnych </w:t>
      </w:r>
      <w:r w:rsidRPr="007B3BAB">
        <w:rPr>
          <w:rFonts w:ascii="Times New Roman" w:hAnsi="Times New Roman" w:cs="Times New Roman"/>
          <w:iCs/>
          <w:sz w:val="26"/>
        </w:rPr>
        <w:t xml:space="preserve">, </w:t>
      </w:r>
      <w:r w:rsidRPr="009074EF">
        <w:rPr>
          <w:rFonts w:ascii="Times New Roman" w:hAnsi="Times New Roman" w:cs="Times New Roman"/>
          <w:sz w:val="26"/>
        </w:rPr>
        <w:t xml:space="preserve">jeśli wzięte dosłownie, jako odpowiedni nośnik boskiego objawienia (długie genealogie, zasady składania ofiar ze zwierząt, wymiary przybytku itp.). Kiedy alegoryzujesz, nadajesz duchowe znaczenie tego rodzaju fragmentom. „Rezultatem była masowa, niekontrolowana alegoryzacja Pisma Świętego, szczególnie Starego Testamentu… Ale strumień fantazyjnych interpretacji nadal płynął niekontrolowany zarówno z ambony, jak iz biurka wykładowcy. Można słusznie sądzić, że znaczenia, jakie można było wyczytać z Pisma Świętego, były ograniczone jedynie pomysłowością tłumacza”. Jeśli masz bardzo mądrą osobę, możesz znaleźć wszelkiego rodzaju znaczenia w każdym stwierdzeniu. „Jakiekolwiek były ich niekonsekwencje (a czasami były niekonsekwencje), obaj wielcy reformatorzy [Luter i Kalwin] z zasady odrzucali alegorię – wielokrotnie i w najmocniejszym języku. W poprzednim rozdziale zacytowano zarówno Lutra, jak i Kalwina, którzy podkreślali, że obowiązkiem tłumacza jest dotarcie do prostego sensu tekstu zamierzonego przez jego autora”. </w:t>
      </w:r>
      <w:r w:rsidR="00AE1444">
        <w:rPr>
          <w:rFonts w:ascii="Times New Roman" w:hAnsi="Times New Roman" w:cs="Times New Roman"/>
          <w:sz w:val="26"/>
        </w:rPr>
        <w:br/>
      </w:r>
      <w:r w:rsidR="00AE1444">
        <w:rPr>
          <w:rFonts w:ascii="Times New Roman" w:hAnsi="Times New Roman" w:cs="Times New Roman"/>
          <w:sz w:val="26"/>
        </w:rPr>
        <w:br/>
        <w:t xml:space="preserve">D. Intencja autorska i pojedyncze znaczenie </w:t>
      </w:r>
      <w:r w:rsidR="00170B7C">
        <w:rPr>
          <w:rFonts w:ascii="Times New Roman" w:hAnsi="Times New Roman" w:cs="Times New Roman"/>
          <w:sz w:val="26"/>
        </w:rPr>
        <w:tab/>
      </w:r>
      <w:r w:rsidRPr="009074EF">
        <w:rPr>
          <w:rFonts w:ascii="Times New Roman" w:hAnsi="Times New Roman" w:cs="Times New Roman"/>
          <w:sz w:val="26"/>
        </w:rPr>
        <w:t xml:space="preserve">Teraz zaczęto nazywać ją „intencją </w:t>
      </w:r>
      <w:r w:rsidRPr="009074EF">
        <w:rPr>
          <w:rFonts w:ascii="Times New Roman" w:hAnsi="Times New Roman" w:cs="Times New Roman"/>
          <w:sz w:val="26"/>
        </w:rPr>
        <w:lastRenderedPageBreak/>
        <w:t xml:space="preserve">autorską” i stała się kwestią kontrowersyjną. Jak daleko się posuwasz? </w:t>
      </w:r>
      <w:r w:rsidR="00994BAC">
        <w:rPr>
          <w:rFonts w:ascii="Times New Roman" w:hAnsi="Times New Roman" w:cs="Times New Roman"/>
          <w:sz w:val="26"/>
        </w:rPr>
        <w:t xml:space="preserve">Walter Kaiser dużo o tym pisał i uważa, że jedyną słuszną interpretacją jest to, co zamierzał autor. Teraz zgadzam się z tym, co próbuje tam zrobić iz pewnością jest to w porządku. Myślę, że on nie bierze pod uwagę tego, że w Piśmie Świętym jest więcej niż jeden autor. W pewnym sensie jest ludzki autor, ale jest też Duch Święty nadzorujący to, co ludzki autor napisał i powiedział. Myślę, że to możliwe, że ludzki autor mógł mówić „lepiej, niż wiedział”, że tak powiem. Innymi słowy, mógł mówić rzeczy, w które sam nie wierzył lub nie rozumiał, a zatem nie było to jego zamiarem; było jednak nadzorowane przez Ducha Świętego, który zajmował się sprawami wykraczającymi poza wszelkie zrozumienie proroka. Więc umieściłem tam zastrzeżenie, ale to nie otwiera drzwi do masowego poszukiwania wielorakich znaczeń w jakimkolwiek stwierdzeniu Pisma Świętego. Bright mówił: „Obowiązkiem tłumacza jest dotrzeć do prostego sensu tekstu zamierzonego przez jego autora. Podobne cytaty, w których wyrażali pogardę dla alegorii, można było wywołać niemal do woli. Luter, którego słownictwo nie było bynajmniej zubożone, jest szczególnie żywy. Oświadcza, że alegorie Orygenesa „nie są warte tyle brudu”; nazywa alegorię różnie „szumowiną na Pismach”, „nierządnicą” mającą nas uwieść, „małpią zabawą”, czymś, co zamienia Pismo Święte w „woskowy nos” (tj. przez które diabeł wsiada na widły. Oświadcza (objaśniając Psalm 22), że Pismo Święte jest szatą Chrystusa i że alegoria rozdziera ją na „łachmany i strzępy”. „Jak”, woła, „będziesz nauczał wiary z całą pewnością, skoro czynisz niepewnym sens Pisma Świętego?” Calvin jest równie surowy. Niejednokrotnie nazywa interpretacje alegoryczne wymysłem diabła mającym na celu podważenie autorytetu Pisma Świętego. W innym miejscu opisuje je jako „dziecięce”, „naciągane” i oświadcza, że lepiej byłoby przyznać się do ignorancji, niż oddawać się takim „niepoważnym domysłom”. Tłumacz, oświadcza, musi przyjąć prosty sens i nie jest pewne, czy powinien przyjąć interpretację, która najlepiej pasuje do kontekstu”. </w:t>
      </w:r>
      <w:r w:rsidR="00AE1444">
        <w:rPr>
          <w:rFonts w:ascii="Times New Roman" w:hAnsi="Times New Roman" w:cs="Times New Roman"/>
          <w:sz w:val="26"/>
        </w:rPr>
        <w:br/>
      </w:r>
      <w:r w:rsidR="00AE1444">
        <w:rPr>
          <w:rFonts w:ascii="Times New Roman" w:hAnsi="Times New Roman" w:cs="Times New Roman"/>
          <w:sz w:val="26"/>
        </w:rPr>
        <w:br/>
        <w:t xml:space="preserve">1. Reformatorzy i pojedynczy sens </w:t>
      </w:r>
      <w:r w:rsidR="00ED050F">
        <w:rPr>
          <w:rFonts w:ascii="Times New Roman" w:hAnsi="Times New Roman" w:cs="Times New Roman"/>
          <w:sz w:val="26"/>
        </w:rPr>
        <w:tab/>
      </w:r>
      <w:r w:rsidRPr="009074EF">
        <w:rPr>
          <w:rFonts w:ascii="Times New Roman" w:hAnsi="Times New Roman" w:cs="Times New Roman"/>
          <w:sz w:val="26"/>
        </w:rPr>
        <w:t xml:space="preserve">Tak więc reformatorzy są dość zdecydowani w swoich opiniach na temat wielorakich znaczeń lub </w:t>
      </w:r>
      <w:r w:rsidR="0009482A">
        <w:rPr>
          <w:rFonts w:ascii="Times New Roman" w:hAnsi="Times New Roman" w:cs="Times New Roman"/>
          <w:sz w:val="26"/>
        </w:rPr>
        <w:t xml:space="preserve">znaczeń stwierdzeń Pisma Świętego, </w:t>
      </w:r>
      <w:r w:rsidR="0009482A">
        <w:rPr>
          <w:rFonts w:ascii="Times New Roman" w:hAnsi="Times New Roman" w:cs="Times New Roman"/>
          <w:sz w:val="26"/>
        </w:rPr>
        <w:lastRenderedPageBreak/>
        <w:t xml:space="preserve">które odrzucają. Ale problem nie zniknął. Bernard Ramm i jego książka o interpretacji mówi: „Jednym z najbardziej uporczywych grzechów hermeneutycznych jest nakładanie dwóch interpretacji jednego fragmentu Pisma, łamiąc siłę dosłownego znaczenia i zaciemniając Słowo Boże”. Jeśli mamy to zrozumieć, ponownie spojrzymy na stronę 27 pod J. Barton Payne z jego </w:t>
      </w:r>
      <w:r w:rsidR="00ED050F" w:rsidRPr="00ED050F">
        <w:rPr>
          <w:rFonts w:ascii="Times New Roman" w:hAnsi="Times New Roman" w:cs="Times New Roman"/>
          <w:i/>
          <w:sz w:val="26"/>
        </w:rPr>
        <w:t xml:space="preserve">Encyclopedia of Biblical Prophecy </w:t>
      </w:r>
      <w:r w:rsidR="00CA012C">
        <w:rPr>
          <w:rFonts w:ascii="Times New Roman" w:hAnsi="Times New Roman" w:cs="Times New Roman"/>
          <w:sz w:val="26"/>
        </w:rPr>
        <w:t xml:space="preserve">. W swojej części wprowadzającej mówi: „Szczególnie dwa współczesne ruchy charakteryzowały się odwoływaniem się do hermeneutyki podwójnego sensu. Z jednej strony stoi liberalizm, z jego całkowitym odrzuceniem autentycznej przepowiedni… Z drugiej strony stoi dyspensacjonalizm, z jego założeniem, że Kościoła nie można przewidzieć na podstawie pism Starego Testamentu. Pojawiają się trzy podstawowe powody utrzymywania koncepcji jednego (Nowego Testamentu) znaczenia w przeciwieństwie do koncepcji tzw. podwójnego spełnienia. Pierwsza wynika z samej natury hermeneutyki. John Owen, siedemnastowieczny </w:t>
      </w:r>
      <w:r w:rsidRPr="009074EF">
        <w:rPr>
          <w:rFonts w:ascii="Times New Roman" w:hAnsi="Times New Roman" w:cs="Times New Roman"/>
          <w:sz w:val="26"/>
          <w:vertAlign w:val="superscript"/>
        </w:rPr>
        <w:t xml:space="preserve">purytanin </w:t>
      </w:r>
      <w:r w:rsidRPr="009074EF">
        <w:rPr>
          <w:rFonts w:ascii="Times New Roman" w:hAnsi="Times New Roman" w:cs="Times New Roman"/>
          <w:sz w:val="26"/>
        </w:rPr>
        <w:t>, dawno temu sformułował powiedzenie: „Jeśli Pismo ma więcej niż jedno znaczenie, nie ma żadnego znaczenia”. a większość nowszych pisarzy zgodziła się, że podwójne spełnienie jest niezgodne z obiektywną interpretacją”. Innymi słowy, Owen mówi, że jeśli pisma święte mają więcej niż jedno znaczenie, nie mają żadnego znaczenia. To czyni hermeneutykę nieokreśloną. Jeśli masz wiele zmysłów, znaczenie tekstu staje się nieokreślone.</w:t>
      </w:r>
    </w:p>
    <w:p w14:paraId="12E1061C" w14:textId="77777777" w:rsidR="00B5186A" w:rsidRPr="009074EF" w:rsidRDefault="0009482A" w:rsidP="0009482A">
      <w:pPr>
        <w:spacing w:line="360" w:lineRule="auto"/>
        <w:ind w:firstLine="720"/>
        <w:rPr>
          <w:rFonts w:ascii="Times New Roman" w:hAnsi="Times New Roman" w:cs="Times New Roman"/>
          <w:sz w:val="26"/>
        </w:rPr>
      </w:pPr>
      <w:r>
        <w:rPr>
          <w:rFonts w:ascii="Times New Roman" w:hAnsi="Times New Roman" w:cs="Times New Roman"/>
          <w:sz w:val="26"/>
        </w:rPr>
        <w:t xml:space="preserve">Fairbairn mówi, że to, co Chrystus naprawdę ma na myśli, jest jedną rzeczą, a jeśli jest wiele rzeczy, hermeneutyka byłaby nieokreślona. „Sam Fairbairn zauważa, że takie podejście powoduje niepewność zastosowania i sprawia, że znaczenie jest zbyt ogólne do praktycznego zastosowania”. To pierwszy powód, dla którego argumentuje, że powinniśmy szukać jednego zmysłu, a nie wielu zmysłów. </w:t>
      </w:r>
      <w:r w:rsidR="00AE1444">
        <w:rPr>
          <w:rFonts w:ascii="Times New Roman" w:hAnsi="Times New Roman" w:cs="Times New Roman"/>
          <w:sz w:val="26"/>
        </w:rPr>
        <w:br/>
      </w:r>
      <w:r w:rsidR="00AE1444">
        <w:rPr>
          <w:rFonts w:ascii="Times New Roman" w:hAnsi="Times New Roman" w:cs="Times New Roman"/>
          <w:sz w:val="26"/>
        </w:rPr>
        <w:br/>
        <w:t>2. NT i pojedyncze znaczenie</w:t>
      </w:r>
    </w:p>
    <w:p w14:paraId="5DB4099B" w14:textId="77777777" w:rsidR="00B5186A" w:rsidRPr="009074EF" w:rsidRDefault="00B5186A" w:rsidP="0009482A">
      <w:pPr>
        <w:spacing w:line="360" w:lineRule="auto"/>
        <w:ind w:firstLine="720"/>
        <w:rPr>
          <w:rFonts w:ascii="Times New Roman" w:hAnsi="Times New Roman" w:cs="Times New Roman"/>
          <w:sz w:val="26"/>
        </w:rPr>
      </w:pPr>
      <w:r w:rsidRPr="009074EF">
        <w:rPr>
          <w:rFonts w:ascii="Times New Roman" w:hAnsi="Times New Roman" w:cs="Times New Roman"/>
          <w:sz w:val="26"/>
        </w:rPr>
        <w:t xml:space="preserve">Drugim powodem są dowody z Nowego Testamentu. „Jak opisał Lockhart, decydujący stosunek Dziejów Apostolskich 2:29-31 do Psalmu 16:„ Apostoł Piotr argumentuje, że Dawid nie mógł odnosić się do siebie, ponieważ umarł i ujrzał zepsucie, ale że był prorokiem i przewidział, że Jezus powinien powstać bez zepsucia… Wydaje </w:t>
      </w:r>
      <w:r w:rsidRPr="009074EF">
        <w:rPr>
          <w:rFonts w:ascii="Times New Roman" w:hAnsi="Times New Roman" w:cs="Times New Roman"/>
          <w:sz w:val="26"/>
        </w:rPr>
        <w:lastRenderedPageBreak/>
        <w:t xml:space="preserve">się, że niełatwo pomylić się ze znaczeniem apostoła. </w:t>
      </w:r>
      <w:r w:rsidR="00BB37CA">
        <w:rPr>
          <w:rFonts w:ascii="Times New Roman" w:hAnsi="Times New Roman" w:cs="Times New Roman"/>
          <w:sz w:val="26"/>
        </w:rPr>
        <w:t xml:space="preserve">Terry konkluduje zatem: „Słowa Pisma Świętego miały mieć jeden określony sens, a naszym pierwszym celem powinno być odkrycie tego sensu i sztywne trzymanie się go… Odrzucamy jako nierozsądną i wprowadzającą w błąd teorię, że takie mesjanistyczne psalmy… mają podwójny sens i odnosić się najpierw do Dawida lub innego władcy, a następnie do Chrystusa. W rzeczywistości z lektury Nowego Testamentu można śmiało powiedzieć, że nikt nigdy nie podejrzewałby możliwości podwójnego spełnienia”. </w:t>
      </w:r>
      <w:r w:rsidR="00AE1444">
        <w:rPr>
          <w:rFonts w:ascii="Times New Roman" w:hAnsi="Times New Roman" w:cs="Times New Roman"/>
          <w:sz w:val="26"/>
        </w:rPr>
        <w:br/>
      </w:r>
      <w:r w:rsidR="00AE1444">
        <w:rPr>
          <w:rFonts w:ascii="Times New Roman" w:hAnsi="Times New Roman" w:cs="Times New Roman"/>
          <w:sz w:val="26"/>
        </w:rPr>
        <w:br/>
        <w:t>3. ST i pojedyncze znaczenie</w:t>
      </w:r>
    </w:p>
    <w:p w14:paraId="5EE16A4E" w14:textId="77777777" w:rsidR="00AE1444" w:rsidRDefault="00BB37CA" w:rsidP="00170B7C">
      <w:pPr>
        <w:spacing w:line="360" w:lineRule="auto"/>
        <w:ind w:firstLine="720"/>
        <w:rPr>
          <w:rFonts w:ascii="Times New Roman" w:hAnsi="Times New Roman" w:cs="Times New Roman"/>
          <w:sz w:val="26"/>
        </w:rPr>
      </w:pPr>
      <w:r>
        <w:rPr>
          <w:rFonts w:ascii="Times New Roman" w:hAnsi="Times New Roman" w:cs="Times New Roman"/>
          <w:sz w:val="26"/>
        </w:rPr>
        <w:t xml:space="preserve">„Trzecim powodem pojedynczego wypełnienia są dowody z kontekstu Starego Testamentu. Na przykład Fairbairn przyznaje, że jego zasada wielorakiego sensu nierzadko zawodzi w konkretnych przypadkach, gdy próbuje się wykazać jego obecność. Terry mówi stanowczo: „Język Psalmu 2 nie odnosi się do Dawida, Salomona ani żadnego innego ziemskiego władcy… Izajasz 7:14 wypełnił się wraz z narodzinami Jezusa Chrystusa (Mt 1:22) i żaden komentator nigdy nie był w stanie aby udowodnić wcześniejsze spełnienie”. </w:t>
      </w:r>
      <w:r w:rsidR="00AE1444">
        <w:rPr>
          <w:rFonts w:ascii="Times New Roman" w:hAnsi="Times New Roman" w:cs="Times New Roman"/>
          <w:sz w:val="26"/>
        </w:rPr>
        <w:br/>
      </w:r>
      <w:r w:rsidR="00AE1444">
        <w:rPr>
          <w:rFonts w:ascii="Times New Roman" w:hAnsi="Times New Roman" w:cs="Times New Roman"/>
          <w:sz w:val="26"/>
        </w:rPr>
        <w:br/>
        <w:t xml:space="preserve">A. Izajasz 7:14 </w:t>
      </w:r>
      <w:r w:rsidR="00AE1444">
        <w:rPr>
          <w:rFonts w:ascii="Times New Roman" w:hAnsi="Times New Roman" w:cs="Times New Roman"/>
          <w:sz w:val="26"/>
        </w:rPr>
        <w:tab/>
      </w:r>
      <w:r w:rsidR="00B5186A" w:rsidRPr="009074EF">
        <w:rPr>
          <w:rFonts w:ascii="Times New Roman" w:hAnsi="Times New Roman" w:cs="Times New Roman"/>
          <w:sz w:val="26"/>
        </w:rPr>
        <w:t xml:space="preserve">Izajasz 7:14 jest jednym z tekstów, w których ludzie często dochodzą do wniosku, że istnieje podwójne odniesienie. Odniesienie do dziecka urodzonego w czasach Achaza i Izajasza, a zarazem odniesienie do Chrystusa. Ale Payne tutaj argumentuje, że Izajasz 7:14 ma jedno odniesienie. Jest tylko jedna kobieta, do której pisarz może się odnieść. Narodziło się dziecko, które było z nami Bogiem. Trzeba przyznać, że jeśli wrócisz do pełnego kontekstu i omówisz to w Księdze Izajasza 7:14, są z tym pewne problemy. To jeden z trudniejszych fragmentów. Nie chcę poświęcać czasu na robienie tego dzisiaj, ale przyjrzymy się kilku przykładom innych fragmentów. </w:t>
      </w:r>
      <w:r w:rsidR="00AE1444">
        <w:rPr>
          <w:rFonts w:ascii="Times New Roman" w:hAnsi="Times New Roman" w:cs="Times New Roman"/>
          <w:sz w:val="26"/>
        </w:rPr>
        <w:br/>
      </w:r>
      <w:r w:rsidR="00AE1444">
        <w:rPr>
          <w:rFonts w:ascii="Times New Roman" w:hAnsi="Times New Roman" w:cs="Times New Roman"/>
          <w:sz w:val="26"/>
        </w:rPr>
        <w:br/>
        <w:t xml:space="preserve">B. Pwt 18 </w:t>
      </w:r>
      <w:r w:rsidR="00893793">
        <w:rPr>
          <w:rFonts w:ascii="Times New Roman" w:hAnsi="Times New Roman" w:cs="Times New Roman"/>
          <w:sz w:val="26"/>
        </w:rPr>
        <w:tab/>
      </w:r>
      <w:r>
        <w:rPr>
          <w:rFonts w:ascii="Times New Roman" w:hAnsi="Times New Roman" w:cs="Times New Roman"/>
          <w:sz w:val="26"/>
        </w:rPr>
        <w:t xml:space="preserve">Myślę, że jednym z naprawdę trudnych fragmentów jest Pwt 18. Już się temu przyglądaliśmy. Czy jest to odniesienie do ruchu proroczego, czy do Chrystusa, czy też w jakiś sposób do obu? Oczywiście istnieje pośrednie odniesienie typologiczne, które </w:t>
      </w:r>
      <w:r>
        <w:rPr>
          <w:rFonts w:ascii="Times New Roman" w:hAnsi="Times New Roman" w:cs="Times New Roman"/>
          <w:sz w:val="26"/>
        </w:rPr>
        <w:lastRenderedPageBreak/>
        <w:t xml:space="preserve">odnosi się do jedności znaczenia, </w:t>
      </w:r>
      <w:r w:rsidR="00B5186A" w:rsidRPr="009074EF">
        <w:rPr>
          <w:rFonts w:ascii="Times New Roman" w:hAnsi="Times New Roman" w:cs="Times New Roman"/>
          <w:sz w:val="26"/>
        </w:rPr>
        <w:t xml:space="preserve">ale </w:t>
      </w:r>
      <w:r>
        <w:rPr>
          <w:rFonts w:ascii="Times New Roman" w:hAnsi="Times New Roman" w:cs="Times New Roman"/>
          <w:sz w:val="26"/>
        </w:rPr>
        <w:t>obejmuje również Chrystusa. Ale Księga Powtórzonego Prawa 18, Księga Izajasza 7:14 i ostatnie wersety Księgi Malachiasza są trudne. Niektóre pieśni psalmów mesjańskich odnoszą się do Dawida lub Salomona oraz do Chrystusa. Ale nie ma wielu z nich, które są naprawdę trudne.</w:t>
      </w:r>
      <w:r w:rsidR="00AE1444">
        <w:rPr>
          <w:rFonts w:ascii="Times New Roman" w:hAnsi="Times New Roman" w:cs="Times New Roman"/>
          <w:sz w:val="26"/>
        </w:rPr>
        <w:br/>
      </w:r>
    </w:p>
    <w:p w14:paraId="08B81ADD" w14:textId="77777777" w:rsidR="00BB37CA" w:rsidRDefault="00AE1444" w:rsidP="00AE1444">
      <w:pPr>
        <w:spacing w:line="360" w:lineRule="auto"/>
        <w:rPr>
          <w:rFonts w:ascii="Times New Roman" w:hAnsi="Times New Roman" w:cs="Times New Roman"/>
          <w:sz w:val="26"/>
          <w:szCs w:val="26"/>
        </w:rPr>
      </w:pPr>
      <w:r>
        <w:rPr>
          <w:rFonts w:ascii="Times New Roman" w:hAnsi="Times New Roman" w:cs="Times New Roman"/>
          <w:sz w:val="26"/>
        </w:rPr>
        <w:t>4. Terry – zdrowy rozsądek</w:t>
      </w:r>
      <w:r w:rsidR="0009482A">
        <w:rPr>
          <w:rFonts w:ascii="Times New Roman" w:hAnsi="Times New Roman" w:cs="Times New Roman"/>
          <w:sz w:val="26"/>
        </w:rPr>
        <w:br/>
        <w:t xml:space="preserve"> </w:t>
      </w:r>
      <w:r w:rsidR="0009482A">
        <w:rPr>
          <w:rFonts w:ascii="Times New Roman" w:hAnsi="Times New Roman" w:cs="Times New Roman"/>
          <w:sz w:val="26"/>
        </w:rPr>
        <w:tab/>
      </w:r>
      <w:r w:rsidR="00BB37CA">
        <w:rPr>
          <w:rFonts w:ascii="Times New Roman" w:hAnsi="Times New Roman" w:cs="Times New Roman"/>
          <w:sz w:val="26"/>
        </w:rPr>
        <w:t xml:space="preserve">Spójrz na stronę 28 w swoich cytatach, na dole strony i na stronie 29. Następnie chcę spojrzeć na kilka przykładów tekstów. To pochodzi z </w:t>
      </w:r>
      <w:r w:rsidR="00B5186A" w:rsidRPr="00893793">
        <w:rPr>
          <w:rFonts w:ascii="Times New Roman" w:hAnsi="Times New Roman" w:cs="Times New Roman"/>
          <w:i/>
          <w:sz w:val="26"/>
        </w:rPr>
        <w:t xml:space="preserve">Biblijnej Hermeneutyki </w:t>
      </w:r>
      <w:r w:rsidR="00BB37CA">
        <w:rPr>
          <w:rFonts w:ascii="Times New Roman" w:hAnsi="Times New Roman" w:cs="Times New Roman"/>
          <w:sz w:val="26"/>
        </w:rPr>
        <w:t xml:space="preserve">Miltona Terry'ego . </w:t>
      </w:r>
      <w:r w:rsidR="00B5186A" w:rsidRPr="009074EF">
        <w:rPr>
          <w:rFonts w:ascii="Times New Roman" w:hAnsi="Times New Roman" w:cs="Times New Roman"/>
          <w:sz w:val="26"/>
        </w:rPr>
        <w:t xml:space="preserve">Jest dość długi i nieco skomplikowany, ale wydaje mi się, że wyczerpuje tu zagadnienia. Chciałem więc poświęcić trochę czasu na bezpośrednie przeczytanie tego. Mówi: „ </w:t>
      </w:r>
      <w:r w:rsidR="00B5186A" w:rsidRPr="009074EF">
        <w:rPr>
          <w:rFonts w:ascii="Times New Roman" w:hAnsi="Times New Roman" w:cs="Times New Roman"/>
          <w:sz w:val="26"/>
          <w:szCs w:val="26"/>
        </w:rPr>
        <w:t>Zasady hermeneutyczne, które teraz przedstawiliśmy, z konieczności wykluczają doktrynę, że proroctwa Pisma Świętego zawierają okultystyczny lub podwójny sens. Niektórzy twierdzili, że ponieważ te wyrocznie są niebiańskie i boskie, powinniśmy spodziewać się, że znajdziemy w nich różnorodne znaczenia. Muszą one różnić się potrzebami od innych książek. Stąd powstała nie tylko doktryna o podwójnym sensie, ale o potrójnym i poczwórnym znaczeniu, a rabini posunęli się nawet do stwierdzenia, że w każdym słowie Pisma Świętego są „góry sensu”.</w:t>
      </w:r>
      <w:r>
        <w:rPr>
          <w:rFonts w:ascii="Times New Roman" w:hAnsi="Times New Roman" w:cs="Times New Roman"/>
          <w:sz w:val="26"/>
          <w:szCs w:val="26"/>
        </w:rPr>
        <w:br/>
        <w:t xml:space="preserve">  </w:t>
      </w:r>
      <w:r>
        <w:rPr>
          <w:rFonts w:ascii="Times New Roman" w:hAnsi="Times New Roman" w:cs="Times New Roman"/>
          <w:sz w:val="26"/>
          <w:szCs w:val="26"/>
        </w:rPr>
        <w:tab/>
      </w:r>
      <w:r w:rsidR="00B5186A" w:rsidRPr="009074EF">
        <w:rPr>
          <w:rFonts w:ascii="Times New Roman" w:hAnsi="Times New Roman" w:cs="Times New Roman"/>
          <w:sz w:val="26"/>
          <w:szCs w:val="26"/>
        </w:rPr>
        <w:t xml:space="preserve">Możemy śmiało przyznać, że pisma święte mogą mieć różnorodne praktyczne </w:t>
      </w:r>
      <w:r w:rsidR="00B5186A" w:rsidRPr="00BB37CA">
        <w:rPr>
          <w:rFonts w:ascii="Times New Roman" w:hAnsi="Times New Roman" w:cs="Times New Roman"/>
          <w:i/>
          <w:sz w:val="26"/>
          <w:szCs w:val="26"/>
        </w:rPr>
        <w:t xml:space="preserve">zastosowania </w:t>
      </w:r>
      <w:r w:rsidR="00B5186A" w:rsidRPr="009074EF">
        <w:rPr>
          <w:rFonts w:ascii="Times New Roman" w:hAnsi="Times New Roman" w:cs="Times New Roman"/>
          <w:sz w:val="26"/>
          <w:szCs w:val="26"/>
        </w:rPr>
        <w:t>;</w:t>
      </w:r>
      <w:r w:rsidR="00B5186A" w:rsidRPr="009074EF">
        <w:rPr>
          <w:rFonts w:ascii="Times New Roman" w:hAnsi="Times New Roman" w:cs="Times New Roman"/>
          <w:i/>
          <w:iCs/>
          <w:sz w:val="26"/>
          <w:szCs w:val="26"/>
        </w:rPr>
        <w:t xml:space="preserve"> </w:t>
      </w:r>
      <w:r w:rsidR="00B5186A" w:rsidRPr="009074EF">
        <w:rPr>
          <w:rFonts w:ascii="Times New Roman" w:hAnsi="Times New Roman" w:cs="Times New Roman"/>
          <w:sz w:val="26"/>
          <w:szCs w:val="26"/>
        </w:rPr>
        <w:t xml:space="preserve">w przeciwnym razie nie byłyby tak przydatne do nauczania, poprawiania i nauczania w sprawiedliwości. Ale w chwili, gdy uznamy zasadę, że fragmenty Pisma Świętego zawierają okultystyczny lub podwójny sens, wprowadzamy element niepewności do świętej księgi i podważamy wszelką naukową interpretację. „Jeśli Pismo ma więcej niż jedno znaczenie”, mówi dr Owen, „to nie ma żadnego znaczenia”. „Uważam”, mówi Ryle, „że słowa Pisma Świętego miały mieć jeden określony sens i że naszym pierwszym celem powinno być odkrycie tego sensu i sztywne trzymanie się go… Powiedzieć, że słowa mają znaczenie tylko dlatego </w:t>
      </w:r>
      <w:r w:rsidR="00B5186A" w:rsidRPr="00BB37CA">
        <w:rPr>
          <w:rFonts w:ascii="Times New Roman" w:hAnsi="Times New Roman" w:cs="Times New Roman"/>
          <w:i/>
          <w:iCs/>
          <w:sz w:val="26"/>
          <w:szCs w:val="26"/>
        </w:rPr>
        <w:t xml:space="preserve">, </w:t>
      </w:r>
      <w:r w:rsidR="00B5186A" w:rsidRPr="009074EF">
        <w:rPr>
          <w:rFonts w:ascii="Times New Roman" w:hAnsi="Times New Roman" w:cs="Times New Roman"/>
          <w:sz w:val="26"/>
          <w:szCs w:val="26"/>
        </w:rPr>
        <w:t xml:space="preserve">że </w:t>
      </w:r>
      <w:r w:rsidR="00B5186A" w:rsidRPr="00BB37CA">
        <w:rPr>
          <w:rFonts w:ascii="Times New Roman" w:hAnsi="Times New Roman" w:cs="Times New Roman"/>
          <w:i/>
          <w:iCs/>
          <w:sz w:val="26"/>
          <w:szCs w:val="26"/>
        </w:rPr>
        <w:t xml:space="preserve">można </w:t>
      </w:r>
      <w:r w:rsidR="00B5186A" w:rsidRPr="009074EF">
        <w:rPr>
          <w:rFonts w:ascii="Times New Roman" w:hAnsi="Times New Roman" w:cs="Times New Roman"/>
          <w:sz w:val="26"/>
          <w:szCs w:val="26"/>
        </w:rPr>
        <w:t>ich torturować, aby zrozumieli, że jest to najbardziej haniebny i niebezpieczny sposób obchodzenia się z Pismem”.</w:t>
      </w:r>
      <w:r w:rsidR="006368D8">
        <w:rPr>
          <w:rFonts w:ascii="Times New Roman" w:hAnsi="Times New Roman" w:cs="Times New Roman"/>
          <w:sz w:val="26"/>
          <w:szCs w:val="26"/>
        </w:rPr>
        <w:br/>
      </w:r>
      <w:r w:rsidR="006368D8">
        <w:rPr>
          <w:rFonts w:ascii="Times New Roman" w:hAnsi="Times New Roman" w:cs="Times New Roman"/>
          <w:sz w:val="26"/>
          <w:szCs w:val="26"/>
        </w:rPr>
        <w:lastRenderedPageBreak/>
        <w:t xml:space="preserve"> </w:t>
      </w:r>
      <w:r w:rsidR="006368D8">
        <w:rPr>
          <w:rFonts w:ascii="Times New Roman" w:hAnsi="Times New Roman" w:cs="Times New Roman"/>
          <w:sz w:val="26"/>
          <w:szCs w:val="26"/>
        </w:rPr>
        <w:tab/>
      </w:r>
      <w:r w:rsidR="0009482A">
        <w:rPr>
          <w:rFonts w:ascii="Times New Roman" w:hAnsi="Times New Roman" w:cs="Times New Roman"/>
          <w:sz w:val="26"/>
          <w:szCs w:val="26"/>
        </w:rPr>
        <w:t xml:space="preserve">„Ten schemat interpretacji”, mówi Stuart, „porzuca i odrzuca wspólne prawa języka. Biblia z wyjątkiem tego, że w żadnej książce, traktacie, liście, dyskursie lub rozmowie, kiedykolwiek napisanej, opublikowanej lub skierowanej przez jednego człowieka do swoich bliźnich (chyba że w </w:t>
      </w:r>
      <w:r w:rsidR="00B5186A" w:rsidRPr="009074EF">
        <w:rPr>
          <w:rFonts w:ascii="Times New Roman" w:hAnsi="Times New Roman" w:cs="Times New Roman"/>
          <w:sz w:val="26"/>
          <w:szCs w:val="26"/>
        </w:rPr>
        <w:t xml:space="preserve">ramach </w:t>
      </w:r>
      <w:r w:rsidR="00BB37CA">
        <w:rPr>
          <w:rFonts w:ascii="Times New Roman" w:hAnsi="Times New Roman" w:cs="Times New Roman"/>
          <w:sz w:val="26"/>
          <w:szCs w:val="26"/>
        </w:rPr>
        <w:t xml:space="preserve">zabawy lub z zamiarem oszukania), nie może znaleźć podwójny sens. Rzeczywiście, we wszystkich językach istnieją szarady, zagadki, frazy z </w:t>
      </w:r>
      <w:r w:rsidR="00B5186A" w:rsidRPr="00BB37CA">
        <w:rPr>
          <w:rFonts w:ascii="Times New Roman" w:hAnsi="Times New Roman" w:cs="Times New Roman"/>
          <w:i/>
          <w:iCs/>
          <w:sz w:val="26"/>
          <w:szCs w:val="26"/>
        </w:rPr>
        <w:t xml:space="preserve">podwójnym ententem </w:t>
      </w:r>
      <w:r w:rsidR="00B5186A" w:rsidRPr="009074EF">
        <w:rPr>
          <w:rFonts w:ascii="Times New Roman" w:hAnsi="Times New Roman" w:cs="Times New Roman"/>
          <w:sz w:val="26"/>
          <w:szCs w:val="26"/>
        </w:rPr>
        <w:t xml:space="preserve">i tym podobne; było mnóstwo pogańskich wyroczni, które były podatne na dwie interpretacje, ale nawet wśród nich wszystkich nigdy nie było i nigdy nie było projektu, który powinien mieć więcej niż jeden sens lub znaczenie w rzeczywistości. Wieloznaczność językowa może być i była celowo stosowana w celu wprowadzenia w błąd czytelnika lub słuchacza, lub w celu ukrycia ignorancji wróżbitów lub zabezpieczenia ich wiarygodności w przyszłych potrzebach; ale jest to zupełnie obce kwestii poważnego i </w:t>
      </w:r>
      <w:r w:rsidR="00B5186A" w:rsidRPr="00BB37CA">
        <w:rPr>
          <w:rFonts w:ascii="Times New Roman" w:hAnsi="Times New Roman" w:cs="Times New Roman"/>
          <w:i/>
          <w:iCs/>
          <w:sz w:val="26"/>
          <w:szCs w:val="26"/>
        </w:rPr>
        <w:t xml:space="preserve">szczerego </w:t>
      </w:r>
      <w:r w:rsidR="00B5186A" w:rsidRPr="009074EF">
        <w:rPr>
          <w:rFonts w:ascii="Times New Roman" w:hAnsi="Times New Roman" w:cs="Times New Roman"/>
          <w:sz w:val="26"/>
          <w:szCs w:val="26"/>
        </w:rPr>
        <w:t xml:space="preserve">podwójnego znaczenia słów. Nie możemy ani przez chwilę, nie naruszając godności i świętości Pisma Świętego, przypuszczać, że natchnieni pisarze mają być porównywani do autorów zagadek, zagadek, zagadek i dwuznacznych pogańskich wyroczni. </w:t>
      </w:r>
      <w:r w:rsidR="006368D8">
        <w:rPr>
          <w:rFonts w:ascii="Times New Roman" w:hAnsi="Times New Roman" w:cs="Times New Roman"/>
          <w:sz w:val="26"/>
          <w:szCs w:val="26"/>
        </w:rPr>
        <w:br/>
      </w:r>
      <w:r w:rsidR="006368D8">
        <w:rPr>
          <w:rFonts w:ascii="Times New Roman" w:hAnsi="Times New Roman" w:cs="Times New Roman"/>
          <w:sz w:val="26"/>
          <w:szCs w:val="26"/>
        </w:rPr>
        <w:br/>
        <w:t>5. Podejście typowe i antytypowe</w:t>
      </w:r>
    </w:p>
    <w:p w14:paraId="19EB52AD" w14:textId="77777777" w:rsidR="00B5186A" w:rsidRPr="003E4F4E" w:rsidRDefault="00B5186A" w:rsidP="00170B7C">
      <w:pPr>
        <w:spacing w:line="360" w:lineRule="auto"/>
        <w:ind w:firstLine="720"/>
        <w:rPr>
          <w:rFonts w:asciiTheme="majorBidi" w:hAnsiTheme="majorBidi" w:cstheme="majorBidi"/>
          <w:sz w:val="26"/>
          <w:szCs w:val="26"/>
        </w:rPr>
      </w:pPr>
      <w:r w:rsidRPr="009074EF">
        <w:rPr>
          <w:rFonts w:ascii="Times New Roman" w:hAnsi="Times New Roman" w:cs="Times New Roman"/>
          <w:sz w:val="26"/>
          <w:szCs w:val="26"/>
        </w:rPr>
        <w:t xml:space="preserve">Niektórzy autorzy pomylili ten temat, łącząc go z doktryną typu i antytypu”. A teraz zauważ, co on tutaj robi. „Jak wiele osób i wydarzeń Starego Testamentu było typami wielkich, które miały nadejść, tak język odnoszący się do nich powinien mieć podwójny sens”. Innymi słowy, zamiast typów i antytypów będących instytucjami, osobami lub wydarzeniami – konkretnymi bytami lub rzeczywistościami jako symbolami zapowiadającymi prawdę, która będzie symbolizować te instytucje, wydarzenia lub osoby – niektórzy interpretatorzy tak naprawdę mówią o języku typologicznym. To ważne rozróżnienie. Zobacz, co on tutaj mówi. „Niektórzy pisarze pomylili ten temat, łącząc go z doktryną typu i antytypu. Jak wiele osób, wydarzenia Starego Testamentu były typami większych, które miały nadejść, więc język odnoszący się do nich powinien być zdolny do podwójnego znaczenia”. Innymi słowy, język jest językiem typologicznym. „Drugi Psalm miał odnosić się zarówno do Dawida, jak i do Chrystusa, a </w:t>
      </w:r>
      <w:r w:rsidRPr="009074EF">
        <w:rPr>
          <w:rFonts w:ascii="Times New Roman" w:hAnsi="Times New Roman" w:cs="Times New Roman"/>
          <w:sz w:val="26"/>
          <w:szCs w:val="26"/>
        </w:rPr>
        <w:lastRenderedPageBreak/>
        <w:t xml:space="preserve">Izajasz 7:14-16 do dziecka urodzonego w czasach proroka, a także Mesjasza. W Psalmach 45 i 72 powinno to mieć podwójne odniesienie do Salomona i Chrystusa oraz proroctwo przeciwko Edomowi w Izajasza 34:5-10, aby zrozumieć także ogólny sąd dnia ostatecznego. Należy jednak zauważyć, że w przypadku typów język Pisma Świętego nie ma podwójnego znaczenia. Same typy są takie, ponieważ zapowiadają rzeczy, które mają nadejść, i fakt ten należy oddzielić od kwestii sensu użycia języka w jakimkolwiek konkretnym </w:t>
      </w:r>
      <w:r w:rsidR="00187FC8">
        <w:rPr>
          <w:rFonts w:ascii="Times New Roman" w:hAnsi="Times New Roman" w:cs="Times New Roman"/>
          <w:sz w:val="26"/>
          <w:szCs w:val="26"/>
        </w:rPr>
        <w:t xml:space="preserve">fragmencie”. </w:t>
      </w:r>
      <w:r w:rsidR="006368D8">
        <w:rPr>
          <w:rFonts w:ascii="Times New Roman" w:hAnsi="Times New Roman" w:cs="Times New Roman"/>
          <w:sz w:val="26"/>
          <w:szCs w:val="26"/>
        </w:rPr>
        <w:br/>
      </w:r>
      <w:r w:rsidR="006368D8">
        <w:rPr>
          <w:rFonts w:ascii="Times New Roman" w:hAnsi="Times New Roman" w:cs="Times New Roman"/>
          <w:sz w:val="26"/>
          <w:szCs w:val="26"/>
        </w:rPr>
        <w:br/>
        <w:t xml:space="preserve">6. Powtórzonego Prawa 18 jako wzór </w:t>
      </w:r>
      <w:r w:rsidR="00187FC8">
        <w:rPr>
          <w:rFonts w:ascii="Times New Roman" w:hAnsi="Times New Roman" w:cs="Times New Roman"/>
          <w:sz w:val="26"/>
          <w:szCs w:val="26"/>
        </w:rPr>
        <w:tab/>
      </w:r>
      <w:r w:rsidRPr="009074EF">
        <w:rPr>
          <w:rFonts w:ascii="Times New Roman" w:hAnsi="Times New Roman" w:cs="Times New Roman"/>
          <w:sz w:val="26"/>
          <w:szCs w:val="26"/>
        </w:rPr>
        <w:t xml:space="preserve">Czy rozumiesz, o co chodzi? Jeśli wrócisz do tego fragmentu z Księgi Powtórzonego Prawa 18, o jakim języku jest tam mowa? Wiesz, jaki był mój wniosek. Język mówi o proroczej instytucji w czasach Starego Testamentu, ponieważ w kontekście zarówno przed, jak i po mówi, że nie należy chodzić do pogańskich wróżbitów. Mówi się, że poddano ich testowi na odróżnienie prawdziwych i fałszywych proroków. Jak mamy otrzymać Boże objawienie po odejściu Mojżesza? Język mówi więc o porządku proroczym. Sam porządek prorocki może być typologiczny, ponieważ są to instrumenty ludzkie głoszące słowo Boże. Chrystus jest zarówno Bogiem, jak i człowiekiem, który przynosi nam słowo Boże. Tak więc typologicznie instytucja prorocza może wskazywać na Chrystusa, ale to nie jest język, który widzicie, to nie jest język typologiczny. To prorocza instytucja. </w:t>
      </w:r>
      <w:r w:rsidR="006368D8">
        <w:rPr>
          <w:rFonts w:ascii="Times New Roman" w:hAnsi="Times New Roman" w:cs="Times New Roman"/>
          <w:sz w:val="26"/>
          <w:szCs w:val="26"/>
        </w:rPr>
        <w:br/>
      </w:r>
      <w:r w:rsidR="006368D8">
        <w:rPr>
          <w:rFonts w:ascii="Times New Roman" w:hAnsi="Times New Roman" w:cs="Times New Roman"/>
          <w:sz w:val="26"/>
          <w:szCs w:val="26"/>
        </w:rPr>
        <w:br/>
        <w:t xml:space="preserve">7. Terry o Psalmie 2 i in. </w:t>
      </w:r>
      <w:r w:rsidR="006368D8">
        <w:rPr>
          <w:rFonts w:ascii="Times New Roman" w:hAnsi="Times New Roman" w:cs="Times New Roman"/>
          <w:sz w:val="26"/>
          <w:szCs w:val="26"/>
        </w:rPr>
        <w:tab/>
      </w:r>
      <w:r w:rsidR="002B47CF">
        <w:rPr>
          <w:rFonts w:ascii="Times New Roman" w:hAnsi="Times New Roman" w:cs="Times New Roman"/>
          <w:sz w:val="26"/>
          <w:szCs w:val="26"/>
        </w:rPr>
        <w:t xml:space="preserve">Jeśli akceptujesz typologiczny język, to naprawdę zaakceptowałeś tę zasadę uduchowiania, a następnie możesz zrobić z Izajasza 11, co robi Young. Nie mówi o wygnaniu, powrocie Żydów do ojczyzny, nie mówi o rzeczywistości fizycznej, myśli, że mówi o rzeczywistości duchowej. To język typologiczny. Terry tego nie akceptuje, ale istnieje coś takiego jak język typologiczny. Mówi: „Wykazaliśmy, że język Psalmu 2 nie odnosi się do Dawida, Salomona ani żadnego innego władcy. To samo można powiedzieć o Psalmach 45 i 72. Izajasza 7:14 wypełniło się przy narodzinach Chrystusa i żaden komentator nigdy nie był w stanie udowodnić wcześniejszego wypełnienia się. Wyrocznia przeciwko Edomowi, podobnie jak </w:t>
      </w:r>
      <w:r w:rsidR="002B47CF">
        <w:rPr>
          <w:rFonts w:ascii="Times New Roman" w:hAnsi="Times New Roman" w:cs="Times New Roman"/>
          <w:sz w:val="26"/>
          <w:szCs w:val="26"/>
        </w:rPr>
        <w:lastRenderedPageBreak/>
        <w:t xml:space="preserve">wyrocznia przeciwko Babilonowi, jest ubrana w wysoce dopracowane proroctwo apokaliptyczne i nie daje żadnego uzasadnienia dla teorii podwójnego sensu. Dwudziesta czwarta Księga Mateusza, na której tak często opiera się ta teoria, nie dostarcza żadnego ważnego dowodu ani na istnienie okultyzmu, ani na istnienie podwójnego zmysłu… Pierwsze proroctwo jest dobrym przykładem. Wrogość między nasieniem niewiasty a nasieniem węża </w:t>
      </w:r>
      <w:r w:rsidRPr="009074EF">
        <w:rPr>
          <w:rFonts w:ascii="Times New Roman" w:hAnsi="Times New Roman" w:cs="Times New Roman"/>
          <w:sz w:val="26"/>
          <w:szCs w:val="26"/>
        </w:rPr>
        <w:t xml:space="preserve">przejawia </w:t>
      </w:r>
      <w:r w:rsidR="00172EFF">
        <w:rPr>
          <w:rFonts w:ascii="Times New Roman" w:hAnsi="Times New Roman" w:cs="Times New Roman"/>
          <w:sz w:val="26"/>
          <w:szCs w:val="26"/>
        </w:rPr>
        <w:t xml:space="preserve">się w tysiącach form. Cenne słowa obietnicy danej ludowi Bożemu znajdują mniej lub bardziej spełnienie w każdym indywidualnym doświadczeniu. Ale te fakty nie podtrzymują teorii podwójnego sensu. Sens w każdym przypadku jest bezpośredni i prosty; zastosowań i ilustracji jest wiele”. To jest obietnica z Księgi Rodzaju 3:15: „Nasienie niewiasty zmiażdży węża. Wprowadzam nieprzyjaźń między twoje potomstwo a jego potomstwo”. „Sens w każdym przypadku jest bezpośredni i prosty; aplikacji i ilustracji jest wiele. Takie fakty nie upoważniają nas do zagłębiania się w proroctwa apokaliptyczne z oczekiwaniem znalezienia dwóch lub więcej znaczeń w każdym konkretnym stwierdzeniu, a następnie stwierdzenia: Ten werset odnosi się do wydarzenia dawno minionego… częściowo spełniło się ono w ruinach Babilonu, lub Edomu, ale oczekuje na wspanialsze spełnienie niż w przyszłości. Sąd nad Babilonem, Niniwą lub Jerozolimą może rzeczywiście być typem”, co jest całkowicie uzasadnione, „każdego innego podobnego sądu i jest ostrzeżeniem dla wszystkich narodów i wieków; ale to bardzo różni się od twierdzenia, że język, w którym ten sąd został przepowiedziany, wypełnił się tylko częściowo, gdy upadł Babilon, Niniwa lub Jerozolima, i nadal oczekuje na całkowite wypełnienie się”. Jest rozróżnienie. Czy podążasz za linią argumentacji? </w:t>
      </w:r>
      <w:r w:rsidR="006368D8">
        <w:rPr>
          <w:rFonts w:ascii="Times New Roman" w:hAnsi="Times New Roman" w:cs="Times New Roman"/>
          <w:sz w:val="26"/>
          <w:szCs w:val="26"/>
        </w:rPr>
        <w:br/>
      </w:r>
      <w:r w:rsidR="006368D8">
        <w:rPr>
          <w:rFonts w:ascii="Times New Roman" w:hAnsi="Times New Roman" w:cs="Times New Roman"/>
          <w:sz w:val="26"/>
          <w:szCs w:val="26"/>
        </w:rPr>
        <w:br/>
        <w:t xml:space="preserve">8. Ilustracja: Księga Daniela 8 </w:t>
      </w:r>
      <w:r w:rsidR="005251B1">
        <w:rPr>
          <w:rFonts w:ascii="Times New Roman" w:hAnsi="Times New Roman" w:cs="Times New Roman"/>
          <w:sz w:val="26"/>
          <w:szCs w:val="26"/>
        </w:rPr>
        <w:tab/>
      </w:r>
      <w:r w:rsidRPr="009074EF">
        <w:rPr>
          <w:rFonts w:ascii="Times New Roman" w:hAnsi="Times New Roman" w:cs="Times New Roman"/>
          <w:sz w:val="26"/>
          <w:szCs w:val="26"/>
        </w:rPr>
        <w:t xml:space="preserve">Pozwólcie, że przedstawię wam jedną ilustrację. Chciałem dać wam dwie ilustracje, ale nie będziemy mieli czasu na to wszystko dzisiaj, ale jedną ilustrację z rozdziału 8 Daniela. Czy ktoś z was zna starą, oryginalną Biblię Scofielda? Jeśli czytasz rozdział Daniela 8 – który, jak sądzę, jest rozdziałem mówiącym o typach – Daniel 8:9 mówi: „Z jednego z nich wyszedł mały róg, który wyrósł bardzo wielki w kierunku południowym, wschodnim i ku przyjemnej ziemi ”. Notatka w Biblii </w:t>
      </w:r>
      <w:r w:rsidRPr="009074EF">
        <w:rPr>
          <w:rFonts w:ascii="Times New Roman" w:hAnsi="Times New Roman" w:cs="Times New Roman"/>
          <w:sz w:val="26"/>
          <w:szCs w:val="26"/>
        </w:rPr>
        <w:lastRenderedPageBreak/>
        <w:t xml:space="preserve">Scofielda o tym małym rogu mówi: „Oto proroctwo wypełniło się w 175 rpne”. To jest odniesienie do tego małego rogu w wersecie 9. Kiedy idziesz dalej w rozdziale, zauważasz, że w wersecie 15 jest napisane: „ Ja, Daniel, widziałem wizję, szukałem znaczenia, a potem oto stanął przede mną wygląd człowieka”. Następnie wyjaśnił znaczenie. Kiedy dojdziesz do znaczenia tego małego rogu, to jest w wersetach 24 i 25, gdzie jest napisane: „On stanie się silny, ale nie swoją własną mocą. On spowoduje zdumiewające spustoszenie. On zniszczy mocarzy i świętych ludzi. </w:t>
      </w:r>
      <w:r w:rsidR="002B47CF">
        <w:rPr>
          <w:rFonts w:ascii="Times New Roman" w:hAnsi="Times New Roman" w:cs="Times New Roman"/>
          <w:sz w:val="26"/>
          <w:szCs w:val="26"/>
        </w:rPr>
        <w:t xml:space="preserve">Sprawi, że oszustwo będzie prosperować. Wywyższy się, gdy poczują się bezpieczni, ale zniszczy wielu. On także powstanie przeciwko Księciu książąt, ale zostanie złamany bez naprawienia”. A komentarz w tych notatkach jest taki, że wersety 24 i 25 wykraczają poza Antiocha Epifanesa i najwyraźniej odnoszą się do małego rogu Daniela 7. A następnie stwierdzenie zarówno Antiocha, jak i bestii, ale bestia jest przede wszystkim widoczna w wersetach 24 i 25. Tak </w:t>
      </w:r>
      <w:r w:rsidRPr="003E4F4E">
        <w:rPr>
          <w:rFonts w:asciiTheme="majorBidi" w:hAnsiTheme="majorBidi" w:cstheme="majorBidi"/>
          <w:sz w:val="26"/>
          <w:szCs w:val="26"/>
        </w:rPr>
        <w:t>więc w interpretacji małego rogu rozdziału Daniela 8, który, jak sądzę, jeśli spojrzysz na wszystkie szczegóły, jest odniesieniem do Antiocha, kiedy dojdziesz do interpretacji małego rogu, uwaga tutaj mówi o wersetach 24 i 25 mówią w tym samym czasie i tymi samymi słowami zarówno do Antiocha, jak i do antychrysta – podwójne odniesienie. Z wersetów 10-14, gdzie w pierwszej części rozdziału masz więcej szczegółów na temat tego małego rogu, notatki do wersetów 10-14 mówią: „Historycznie spełniło się to w Antiochu i przez Antiocha, ale w bardziej intensywnym i ostatecznym sensie Antiochus adumbrates okropne bluźnierstwo małego rogu Daniela 7”. Nie mam z tym problemu, ponieważ myślę, że Antioch jest typem antychrysta, ale słowa tutaj mówią o Antiochu. Ale następne stwierdzenie w przypisach brzmi: „W Księdze Daniela 8:10-14 działania obu małych rogów mieszają się”. Widzicie więc, że w szczegółowym opisie małego rogu w 10-14 słowa odnoszą się do Antiocha iw tym samym czasie i tymi samymi słowami odnoszą się do antychrysta. „Słowa mieszają się, oba są widoczne”.</w:t>
      </w:r>
      <w:r w:rsidR="00C26B04">
        <w:rPr>
          <w:rFonts w:asciiTheme="majorBidi" w:hAnsiTheme="majorBidi" w:cstheme="majorBidi"/>
          <w:sz w:val="26"/>
          <w:szCs w:val="26"/>
        </w:rPr>
        <w:br/>
        <w:t xml:space="preserve"> </w:t>
      </w:r>
      <w:r w:rsidR="00C26B04">
        <w:rPr>
          <w:rFonts w:asciiTheme="majorBidi" w:hAnsiTheme="majorBidi" w:cstheme="majorBidi"/>
          <w:sz w:val="26"/>
          <w:szCs w:val="26"/>
        </w:rPr>
        <w:tab/>
      </w:r>
      <w:r w:rsidRPr="003E4F4E">
        <w:rPr>
          <w:rFonts w:asciiTheme="majorBidi" w:hAnsiTheme="majorBidi" w:cstheme="majorBidi"/>
          <w:sz w:val="26"/>
          <w:szCs w:val="26"/>
        </w:rPr>
        <w:t xml:space="preserve">Na końcu wersetu 19 jest powiedziane: „W czasie końca będzie”, a uwaga mówi: „Dwa końce są widoczne. Jeden, historycznie. Koniec jednej trzeciej greckiego imperium Aleksandra z podziałów, z których wyrósł mały róg z wersetu 9”. To koniec tego greckiego okresu. „Ale dwa, proroczo, koniec czasów pogan. Oba końce są widoczne. </w:t>
      </w:r>
      <w:r w:rsidRPr="003E4F4E">
        <w:rPr>
          <w:rFonts w:asciiTheme="majorBidi" w:hAnsiTheme="majorBidi" w:cstheme="majorBidi"/>
          <w:sz w:val="26"/>
          <w:szCs w:val="26"/>
        </w:rPr>
        <w:lastRenderedPageBreak/>
        <w:t xml:space="preserve">Czas końca to imperium greckie i koniec czasów pogan – podwójne odniesienie. Jest to więc jedna ilustracja sposobu, w jaki niektórzy interpretatorzy wykorzystują tę zasadę podwójnego odniesienia, aby znaleźć znaczenie proroczych wypowiedzi. </w:t>
      </w:r>
      <w:r w:rsidR="006368D8">
        <w:rPr>
          <w:rFonts w:asciiTheme="majorBidi" w:hAnsiTheme="majorBidi" w:cstheme="majorBidi"/>
          <w:sz w:val="26"/>
          <w:szCs w:val="26"/>
        </w:rPr>
        <w:br/>
      </w:r>
      <w:r w:rsidR="006368D8">
        <w:rPr>
          <w:rFonts w:asciiTheme="majorBidi" w:hAnsiTheme="majorBidi" w:cstheme="majorBidi"/>
          <w:sz w:val="26"/>
          <w:szCs w:val="26"/>
        </w:rPr>
        <w:br/>
        <w:t xml:space="preserve">9. Ilustracja: Malachiasza 4:5-6 </w:t>
      </w:r>
      <w:r w:rsidR="002B47CF">
        <w:rPr>
          <w:rFonts w:asciiTheme="majorBidi" w:hAnsiTheme="majorBidi" w:cstheme="majorBidi"/>
          <w:sz w:val="26"/>
          <w:szCs w:val="26"/>
        </w:rPr>
        <w:tab/>
      </w:r>
      <w:r w:rsidRPr="003E4F4E">
        <w:rPr>
          <w:rFonts w:asciiTheme="majorBidi" w:hAnsiTheme="majorBidi" w:cstheme="majorBidi"/>
          <w:sz w:val="26"/>
          <w:szCs w:val="26"/>
        </w:rPr>
        <w:t xml:space="preserve">Chcę przyjrzeć się bardziej szczegółowo Malachiasza 4:5-6 i zrobimy to na początku </w:t>
      </w:r>
      <w:r w:rsidR="00CA78C0">
        <w:rPr>
          <w:rFonts w:asciiTheme="majorBidi" w:hAnsiTheme="majorBidi" w:cstheme="majorBidi"/>
          <w:sz w:val="26"/>
          <w:szCs w:val="26"/>
        </w:rPr>
        <w:t xml:space="preserve">naszej sesji następnym razem </w:t>
      </w:r>
      <w:r w:rsidRPr="003E4F4E">
        <w:rPr>
          <w:rFonts w:asciiTheme="majorBidi" w:hAnsiTheme="majorBidi" w:cstheme="majorBidi"/>
          <w:sz w:val="26"/>
          <w:szCs w:val="26"/>
        </w:rPr>
        <w:t xml:space="preserve">. Lecz Malachiasza 4:5-6 spójrzmy na to przez chwilę. Mówi: „Oto poślę wam proroka Eliasza przed tym wielkim i strasznym dniem Pana. On zwróci serca ojców do ich dzieci, a serca dzieci do ich ojców, bo inaczej przyjdę i rzucę na ziemię przekleństwo”. Interesujące jest to, że masz odniesienia Nowego Testamentu do tego fragmentu, a niektóre odniesienia Nowego Testamentu odnoszą to proroctwo do Jana Chrzciciela. Wtedy pojawia się pytanie, co robisz z tym proroctwem? Czy się spełniło, czy jeszcze się nie spełniło? Czy mówi o Janie Chrzcicielu? Czy mówi o Eliaszu? Czy to podwójny sens? Co ty z tym robisz? Następnym razem chcę przyjrzeć się temu bardziej szczegółowo i przedstawić kilka sposobów, w jakie tłumacze sobie z tym poradzili. Jest to jeden z trudniejszych fragmentów dotyczących podwójnego zmysłu. </w:t>
      </w:r>
      <w:r w:rsidR="006368D8">
        <w:rPr>
          <w:rFonts w:asciiTheme="majorBidi" w:hAnsiTheme="majorBidi" w:cstheme="majorBidi"/>
          <w:sz w:val="26"/>
          <w:szCs w:val="26"/>
        </w:rPr>
        <w:br/>
      </w:r>
      <w:r w:rsidR="006368D8">
        <w:rPr>
          <w:rFonts w:asciiTheme="majorBidi" w:hAnsiTheme="majorBidi" w:cstheme="majorBidi"/>
          <w:sz w:val="26"/>
          <w:szCs w:val="26"/>
        </w:rPr>
        <w:br/>
        <w:t xml:space="preserve">10. Wnioski Vannoya na temat podwójnego rozsądku </w:t>
      </w:r>
      <w:r w:rsidR="002B47CF">
        <w:rPr>
          <w:rFonts w:asciiTheme="majorBidi" w:hAnsiTheme="majorBidi" w:cstheme="majorBidi"/>
          <w:sz w:val="26"/>
          <w:szCs w:val="26"/>
        </w:rPr>
        <w:tab/>
      </w:r>
      <w:r w:rsidRPr="003E4F4E">
        <w:rPr>
          <w:rFonts w:asciiTheme="majorBidi" w:hAnsiTheme="majorBidi" w:cstheme="majorBidi"/>
          <w:sz w:val="26"/>
          <w:szCs w:val="26"/>
        </w:rPr>
        <w:t>Teraz jeszcze jedno wyjaśnienie i zakończę. Nie mówię, że nie można znaleźć podwójnego sensu. Nie sądzę, że powinieneś sprowadzać zasady interpretacji z zewnątrz i narzucać je Pismu Świętemu, aby pasowało do jakiejś formuły interpretacji. Wydaje mi się, że jeśli istnieją jasne fragmenty, które prowadzą cię do zamierzonego sposobu interpretacji Pisma Świętego, to niech tak będzie. Naszym przewodnikiem musi być Pismo Święte. Nie jestem przekonany, że istnieją fragmenty, które zmuszają cię do tego. Mówię więc, że nie należy podchodzić do tekstu w poszukiwaniu wielu zmysłów. Jeśli zmusza cię do tego samo Pismo Święte, niech tak będzie, ale musisz wykazać na podstawie Pisma Świętego, że tak właśnie musisz rozumieć to stwierdzenie, na którym spoczywa duży ciężar dowodu.</w:t>
      </w:r>
    </w:p>
    <w:p w14:paraId="73CF67C6" w14:textId="77777777" w:rsidR="00B5186A" w:rsidRPr="00CA0AD3" w:rsidRDefault="00B5186A" w:rsidP="00B5186A">
      <w:pPr>
        <w:spacing w:line="360" w:lineRule="auto"/>
        <w:rPr>
          <w:rFonts w:asciiTheme="majorBidi" w:hAnsiTheme="majorBidi" w:cstheme="majorBidi"/>
          <w:color w:val="001320"/>
          <w:sz w:val="22"/>
          <w:szCs w:val="22"/>
        </w:rPr>
      </w:pPr>
    </w:p>
    <w:p w14:paraId="76CD0838" w14:textId="77777777" w:rsidR="00415C36" w:rsidRPr="00CA0AD3" w:rsidRDefault="00C26B04" w:rsidP="00170B7C">
      <w:pPr>
        <w:rPr>
          <w:rFonts w:asciiTheme="majorBidi" w:hAnsiTheme="majorBidi" w:cstheme="majorBidi"/>
          <w:sz w:val="22"/>
          <w:szCs w:val="22"/>
        </w:rPr>
      </w:pPr>
      <w:r w:rsidRPr="00CA0AD3">
        <w:rPr>
          <w:rFonts w:asciiTheme="majorBidi" w:hAnsiTheme="majorBidi" w:cstheme="majorBidi"/>
          <w:sz w:val="22"/>
          <w:szCs w:val="22"/>
        </w:rPr>
        <w:lastRenderedPageBreak/>
        <w:t>    </w:t>
      </w:r>
      <w:r w:rsidRPr="00CA0AD3">
        <w:rPr>
          <w:rFonts w:asciiTheme="majorBidi" w:hAnsiTheme="majorBidi" w:cstheme="majorBidi"/>
          <w:sz w:val="22"/>
          <w:szCs w:val="22"/>
        </w:rPr>
        <w:tab/>
        <w:t>Transkrypcja: Katie Wholley, Matt Gobson, William Mahoney, Sarah Owsinski, Grace</w:t>
      </w:r>
      <w:r w:rsidRPr="00CA0AD3">
        <w:rPr>
          <w:rFonts w:asciiTheme="majorBidi" w:hAnsiTheme="majorBidi" w:cstheme="majorBidi"/>
          <w:sz w:val="22"/>
          <w:szCs w:val="22"/>
        </w:rPr>
        <w:br/>
        <w:t xml:space="preserve"> </w:t>
      </w:r>
      <w:r w:rsidRPr="00CA0AD3">
        <w:rPr>
          <w:rFonts w:asciiTheme="majorBidi" w:hAnsiTheme="majorBidi" w:cstheme="majorBidi"/>
          <w:sz w:val="22"/>
          <w:szCs w:val="22"/>
        </w:rPr>
        <w:tab/>
      </w:r>
      <w:r w:rsidRPr="00CA0AD3">
        <w:rPr>
          <w:rFonts w:asciiTheme="majorBidi" w:hAnsiTheme="majorBidi" w:cstheme="majorBidi"/>
          <w:sz w:val="22"/>
          <w:szCs w:val="22"/>
        </w:rPr>
        <w:tab/>
        <w:t xml:space="preserve">Cunningham, Becca Brule i Stephen Davalos (red.). </w:t>
      </w:r>
      <w:r w:rsidRPr="00CA0AD3">
        <w:rPr>
          <w:rFonts w:asciiTheme="majorBidi" w:hAnsiTheme="majorBidi" w:cstheme="majorBidi"/>
          <w:sz w:val="22"/>
          <w:szCs w:val="22"/>
        </w:rPr>
        <w:br/>
      </w:r>
      <w:r w:rsidRPr="00CA0AD3">
        <w:rPr>
          <w:rFonts w:asciiTheme="majorBidi" w:hAnsiTheme="majorBidi" w:cstheme="majorBidi"/>
          <w:sz w:val="22"/>
          <w:szCs w:val="22"/>
        </w:rPr>
        <w:tab/>
      </w:r>
      <w:r w:rsidR="00170B7C">
        <w:rPr>
          <w:rFonts w:asciiTheme="majorBidi" w:hAnsiTheme="majorBidi" w:cstheme="majorBidi"/>
          <w:sz w:val="22"/>
          <w:szCs w:val="22"/>
        </w:rPr>
        <w:t>Wstępna edycja autorstwa Teda Hildebrandta</w:t>
      </w:r>
      <w:r w:rsidR="00170B7C">
        <w:rPr>
          <w:rFonts w:asciiTheme="majorBidi" w:hAnsiTheme="majorBidi" w:cstheme="majorBidi"/>
          <w:sz w:val="22"/>
          <w:szCs w:val="22"/>
        </w:rPr>
        <w:br/>
        <w:t xml:space="preserve"> </w:t>
      </w:r>
      <w:r w:rsidR="00170B7C">
        <w:rPr>
          <w:rFonts w:asciiTheme="majorBidi" w:hAnsiTheme="majorBidi" w:cstheme="majorBidi"/>
          <w:sz w:val="22"/>
          <w:szCs w:val="22"/>
        </w:rPr>
        <w:tab/>
        <w:t xml:space="preserve">Edycja ostateczna: Katie Ells. </w:t>
      </w:r>
      <w:r w:rsidRPr="00CA0AD3">
        <w:rPr>
          <w:rFonts w:asciiTheme="majorBidi" w:hAnsiTheme="majorBidi" w:cstheme="majorBidi"/>
          <w:sz w:val="22"/>
          <w:szCs w:val="22"/>
        </w:rPr>
        <w:br/>
      </w:r>
      <w:r w:rsidRPr="00CA0AD3">
        <w:rPr>
          <w:rFonts w:asciiTheme="majorBidi" w:hAnsiTheme="majorBidi" w:cstheme="majorBidi"/>
          <w:sz w:val="22"/>
          <w:szCs w:val="22"/>
        </w:rPr>
        <w:tab/>
        <w:t xml:space="preserve">Ponownie narracja: </w:t>
      </w:r>
      <w:r w:rsidR="00170B7C">
        <w:rPr>
          <w:rFonts w:asciiTheme="majorBidi" w:hAnsiTheme="majorBidi" w:cstheme="majorBidi"/>
          <w:sz w:val="22"/>
          <w:szCs w:val="22"/>
        </w:rPr>
        <w:t>Ted Hildebrandt</w:t>
      </w:r>
    </w:p>
    <w:p w14:paraId="32C13EC3" w14:textId="77777777" w:rsidR="00C26B04" w:rsidRDefault="00C26B04"/>
    <w:sectPr w:rsidR="00C26B04" w:rsidSect="00A81B1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52B13" w14:textId="77777777" w:rsidR="003C60DB" w:rsidRDefault="003C60DB" w:rsidP="00B5186A">
      <w:r>
        <w:separator/>
      </w:r>
    </w:p>
  </w:endnote>
  <w:endnote w:type="continuationSeparator" w:id="0">
    <w:p w14:paraId="70C8CE91" w14:textId="77777777" w:rsidR="003C60DB" w:rsidRDefault="003C60DB" w:rsidP="00B51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350A4" w14:textId="77777777" w:rsidR="003C60DB" w:rsidRDefault="003C60DB" w:rsidP="00B5186A">
      <w:r>
        <w:separator/>
      </w:r>
    </w:p>
  </w:footnote>
  <w:footnote w:type="continuationSeparator" w:id="0">
    <w:p w14:paraId="3E102991" w14:textId="77777777" w:rsidR="003C60DB" w:rsidRDefault="003C60DB" w:rsidP="00B518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0656004"/>
      <w:docPartObj>
        <w:docPartGallery w:val="Page Numbers (Top of Page)"/>
        <w:docPartUnique/>
      </w:docPartObj>
    </w:sdtPr>
    <w:sdtEndPr>
      <w:rPr>
        <w:noProof/>
      </w:rPr>
    </w:sdtEndPr>
    <w:sdtContent>
      <w:p w14:paraId="22BD27C3" w14:textId="77777777" w:rsidR="00356744" w:rsidRDefault="003C105F">
        <w:pPr>
          <w:pStyle w:val="Header"/>
          <w:jc w:val="right"/>
        </w:pPr>
        <w:r>
          <w:fldChar w:fldCharType="begin"/>
        </w:r>
        <w:r>
          <w:instrText xml:space="preserve"> PAGE   \* MERGEFORMAT </w:instrText>
        </w:r>
        <w:r>
          <w:fldChar w:fldCharType="separate"/>
        </w:r>
        <w:r w:rsidR="0080110E">
          <w:rPr>
            <w:noProof/>
          </w:rPr>
          <w:t>16</w:t>
        </w:r>
        <w:r>
          <w:rPr>
            <w:noProof/>
          </w:rPr>
          <w:fldChar w:fldCharType="end"/>
        </w:r>
      </w:p>
    </w:sdtContent>
  </w:sdt>
  <w:p w14:paraId="4DAB1B23" w14:textId="77777777" w:rsidR="00356744" w:rsidRDefault="003567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186A"/>
    <w:rsid w:val="00013D2C"/>
    <w:rsid w:val="00034488"/>
    <w:rsid w:val="0005002D"/>
    <w:rsid w:val="000711A2"/>
    <w:rsid w:val="0009482A"/>
    <w:rsid w:val="00100333"/>
    <w:rsid w:val="001260F5"/>
    <w:rsid w:val="00170B7C"/>
    <w:rsid w:val="00172EFF"/>
    <w:rsid w:val="00187FC8"/>
    <w:rsid w:val="00293D65"/>
    <w:rsid w:val="002B47CF"/>
    <w:rsid w:val="00340413"/>
    <w:rsid w:val="00356744"/>
    <w:rsid w:val="003B3C34"/>
    <w:rsid w:val="003C105F"/>
    <w:rsid w:val="003C60DB"/>
    <w:rsid w:val="00415C36"/>
    <w:rsid w:val="004C72B0"/>
    <w:rsid w:val="005251B1"/>
    <w:rsid w:val="006368D8"/>
    <w:rsid w:val="00674FA9"/>
    <w:rsid w:val="006E0AF7"/>
    <w:rsid w:val="00753FCF"/>
    <w:rsid w:val="007B3BAB"/>
    <w:rsid w:val="0080110E"/>
    <w:rsid w:val="00825D3B"/>
    <w:rsid w:val="00893793"/>
    <w:rsid w:val="008C75AB"/>
    <w:rsid w:val="008E5ACC"/>
    <w:rsid w:val="008F7092"/>
    <w:rsid w:val="00944A9F"/>
    <w:rsid w:val="00970C2C"/>
    <w:rsid w:val="00994BAC"/>
    <w:rsid w:val="00A81B19"/>
    <w:rsid w:val="00AB5709"/>
    <w:rsid w:val="00AE1444"/>
    <w:rsid w:val="00AE7AB9"/>
    <w:rsid w:val="00B02EB5"/>
    <w:rsid w:val="00B3358C"/>
    <w:rsid w:val="00B340FD"/>
    <w:rsid w:val="00B5186A"/>
    <w:rsid w:val="00B966BC"/>
    <w:rsid w:val="00BA445A"/>
    <w:rsid w:val="00BB37CA"/>
    <w:rsid w:val="00C26B04"/>
    <w:rsid w:val="00C3004D"/>
    <w:rsid w:val="00C3619F"/>
    <w:rsid w:val="00C94FC5"/>
    <w:rsid w:val="00CA012C"/>
    <w:rsid w:val="00CA0AD3"/>
    <w:rsid w:val="00CA78C0"/>
    <w:rsid w:val="00D114BD"/>
    <w:rsid w:val="00D1277E"/>
    <w:rsid w:val="00D31E6F"/>
    <w:rsid w:val="00D43243"/>
    <w:rsid w:val="00D47256"/>
    <w:rsid w:val="00D50911"/>
    <w:rsid w:val="00D722A5"/>
    <w:rsid w:val="00E53A35"/>
    <w:rsid w:val="00E55D7D"/>
    <w:rsid w:val="00E70F74"/>
    <w:rsid w:val="00E916A1"/>
    <w:rsid w:val="00ED050F"/>
    <w:rsid w:val="00EE2361"/>
    <w:rsid w:val="00FE2270"/>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ED6A5"/>
  <w15:docId w15:val="{2CAFB708-5008-4393-A22E-6CA5BF1C9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86A"/>
    <w:pPr>
      <w:spacing w:after="0" w:line="240" w:lineRule="auto"/>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
    <w:name w:val="p"/>
    <w:basedOn w:val="DefaultParagraphFont"/>
    <w:rsid w:val="00B5186A"/>
  </w:style>
  <w:style w:type="paragraph" w:styleId="BalloonText">
    <w:name w:val="Balloon Text"/>
    <w:basedOn w:val="Normal"/>
    <w:link w:val="BalloonTextChar"/>
    <w:uiPriority w:val="99"/>
    <w:semiHidden/>
    <w:unhideWhenUsed/>
    <w:rsid w:val="00B5186A"/>
    <w:rPr>
      <w:rFonts w:ascii="Tahoma" w:hAnsi="Tahoma" w:cs="Tahoma"/>
      <w:sz w:val="16"/>
      <w:szCs w:val="16"/>
    </w:rPr>
  </w:style>
  <w:style w:type="character" w:customStyle="1" w:styleId="BalloonTextChar">
    <w:name w:val="Balloon Text Char"/>
    <w:basedOn w:val="DefaultParagraphFont"/>
    <w:link w:val="BalloonText"/>
    <w:uiPriority w:val="99"/>
    <w:semiHidden/>
    <w:rsid w:val="00B5186A"/>
    <w:rPr>
      <w:rFonts w:ascii="Tahoma" w:hAnsi="Tahoma" w:cs="Tahoma"/>
      <w:sz w:val="16"/>
      <w:szCs w:val="16"/>
      <w:lang w:val="pl" w:bidi="ar-SA"/>
    </w:rPr>
  </w:style>
  <w:style w:type="paragraph" w:styleId="Header">
    <w:name w:val="header"/>
    <w:basedOn w:val="Normal"/>
    <w:link w:val="HeaderChar"/>
    <w:uiPriority w:val="99"/>
    <w:unhideWhenUsed/>
    <w:rsid w:val="00B5186A"/>
    <w:pPr>
      <w:tabs>
        <w:tab w:val="center" w:pos="4680"/>
        <w:tab w:val="right" w:pos="9360"/>
      </w:tabs>
    </w:pPr>
  </w:style>
  <w:style w:type="character" w:customStyle="1" w:styleId="HeaderChar">
    <w:name w:val="Header Char"/>
    <w:basedOn w:val="DefaultParagraphFont"/>
    <w:link w:val="Header"/>
    <w:uiPriority w:val="99"/>
    <w:rsid w:val="00B5186A"/>
    <w:rPr>
      <w:sz w:val="24"/>
      <w:szCs w:val="24"/>
      <w:lang w:val="pl" w:bidi="ar-SA"/>
    </w:rPr>
  </w:style>
  <w:style w:type="paragraph" w:styleId="Footer">
    <w:name w:val="footer"/>
    <w:basedOn w:val="Normal"/>
    <w:link w:val="FooterChar"/>
    <w:uiPriority w:val="99"/>
    <w:unhideWhenUsed/>
    <w:rsid w:val="00B5186A"/>
    <w:pPr>
      <w:tabs>
        <w:tab w:val="center" w:pos="4680"/>
        <w:tab w:val="right" w:pos="9360"/>
      </w:tabs>
    </w:pPr>
  </w:style>
  <w:style w:type="character" w:customStyle="1" w:styleId="FooterChar">
    <w:name w:val="Footer Char"/>
    <w:basedOn w:val="DefaultParagraphFont"/>
    <w:link w:val="Footer"/>
    <w:uiPriority w:val="99"/>
    <w:rsid w:val="00B5186A"/>
    <w:rPr>
      <w:sz w:val="24"/>
      <w:szCs w:val="24"/>
      <w:lang w:va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1246</TotalTime>
  <Pages>19</Pages>
  <Words>5653</Words>
  <Characters>33245</Characters>
  <Application>Microsoft Office Word</Application>
  <DocSecurity>0</DocSecurity>
  <Lines>536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cp:lastModifiedBy>
  <cp:revision>6</cp:revision>
  <cp:lastPrinted>2023-07-04T20:53:00Z</cp:lastPrinted>
  <dcterms:created xsi:type="dcterms:W3CDTF">2010-12-17T18:55:00Z</dcterms:created>
  <dcterms:modified xsi:type="dcterms:W3CDTF">2023-07-04T20:53:00Z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bbd7ce27fdb221b66e5422b416b733e4a95dfe860a7a77e789de04e8bade9d0b</vt:lpwstr>
  </property>
</Properties>
</file>