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C0879" w14:textId="77777777" w:rsidR="00FB2F32" w:rsidRPr="00FB2F32" w:rsidRDefault="00FB2F32" w:rsidP="00FB2F32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xmlns:w="http://schemas.openxmlformats.org/wordprocessingml/2006/main" w:rsidRPr="00FB2F32">
        <w:rPr>
          <w:rFonts w:ascii="Calibri" w:eastAsia="Calibri" w:hAnsi="Calibri" w:cs="Calibri"/>
          <w:b/>
          <w:bCs/>
          <w:sz w:val="40"/>
          <w:szCs w:val="40"/>
        </w:rPr>
        <w:t xml:space="preserve">Dr David Howard, Joshua-Ruth, sesja 3,</w:t>
      </w:r>
    </w:p>
    <w:p w14:paraId="5D374AAE" w14:textId="0FE312B4" w:rsidR="004065EF" w:rsidRPr="00FB2F32" w:rsidRDefault="00000000" w:rsidP="00FB2F32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xmlns:w="http://schemas.openxmlformats.org/wordprocessingml/2006/main" w:rsidRPr="00FB2F32">
        <w:rPr>
          <w:rFonts w:ascii="Calibri" w:eastAsia="Calibri" w:hAnsi="Calibri" w:cs="Calibri"/>
          <w:b/>
          <w:bCs/>
          <w:sz w:val="40"/>
          <w:szCs w:val="40"/>
        </w:rPr>
        <w:t xml:space="preserve">Wprowadzenie Część 3</w:t>
      </w:r>
    </w:p>
    <w:p w14:paraId="6B3C2B95" w14:textId="296C113C" w:rsidR="00FB2F32" w:rsidRPr="00FB2F32" w:rsidRDefault="00FB2F32" w:rsidP="00FB2F32">
      <w:pPr xmlns:w="http://schemas.openxmlformats.org/wordprocessingml/2006/main">
        <w:jc w:val="center"/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FB2F32">
        <w:rPr>
          <w:rFonts w:ascii="AA Times New Roman" w:eastAsia="Calibri" w:hAnsi="AA Times New Roman" w:cs="AA Times New Roman"/>
          <w:sz w:val="26"/>
          <w:szCs w:val="26"/>
        </w:rPr>
        <w:t xml:space="preserve">© </w:t>
      </w:r>
      <w:r xmlns:w="http://schemas.openxmlformats.org/wordprocessingml/2006/main" w:rsidRPr="00FB2F32">
        <w:rPr>
          <w:rFonts w:ascii="Calibri" w:eastAsia="Calibri" w:hAnsi="Calibri" w:cs="Calibri"/>
          <w:sz w:val="26"/>
          <w:szCs w:val="26"/>
        </w:rPr>
        <w:t xml:space="preserve">2024 David Howard i Ted Hildebrandt</w:t>
      </w:r>
    </w:p>
    <w:p w14:paraId="2C1D01A2" w14:textId="77777777" w:rsidR="00FB2F32" w:rsidRPr="00FB2F32" w:rsidRDefault="00FB2F32">
      <w:pPr>
        <w:rPr>
          <w:sz w:val="26"/>
          <w:szCs w:val="26"/>
        </w:rPr>
      </w:pPr>
    </w:p>
    <w:p w14:paraId="71916A9E" w14:textId="54455322" w:rsidR="00FB2F32" w:rsidRDefault="00000000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FB2F32">
        <w:rPr>
          <w:rFonts w:ascii="Calibri" w:eastAsia="Calibri" w:hAnsi="Calibri" w:cs="Calibri"/>
          <w:sz w:val="26"/>
          <w:szCs w:val="26"/>
        </w:rPr>
        <w:t xml:space="preserve">To jest dr David Howard w swoim nauczaniu o Jozue poprzez Rut. To jest sesja 3, Wprowadzenie do Jozuego, część 3, Kontekst literacki.</w:t>
      </w:r>
    </w:p>
    <w:p w14:paraId="05E37513" w14:textId="77777777" w:rsidR="00FB2F32" w:rsidRDefault="00FB2F32">
      <w:pPr>
        <w:rPr>
          <w:rFonts w:ascii="Calibri" w:eastAsia="Calibri" w:hAnsi="Calibri" w:cs="Calibri"/>
          <w:sz w:val="26"/>
          <w:szCs w:val="26"/>
        </w:rPr>
      </w:pPr>
    </w:p>
    <w:p w14:paraId="2D38CCBB" w14:textId="46DE003C" w:rsidR="004065EF" w:rsidRPr="00FB2F3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B2F32">
        <w:rPr>
          <w:rFonts w:ascii="Calibri" w:eastAsia="Calibri" w:hAnsi="Calibri" w:cs="Calibri"/>
          <w:sz w:val="26"/>
          <w:szCs w:val="26"/>
        </w:rPr>
        <w:t xml:space="preserve">W tej części chcę porozmawiać o tym, co nazwałbym kontekstem literackim Księgi Jozuego.</w:t>
      </w:r>
    </w:p>
    <w:p w14:paraId="7712DB67" w14:textId="77777777" w:rsidR="004065EF" w:rsidRPr="00FB2F32" w:rsidRDefault="004065EF">
      <w:pPr>
        <w:rPr>
          <w:sz w:val="26"/>
          <w:szCs w:val="26"/>
        </w:rPr>
      </w:pPr>
    </w:p>
    <w:p w14:paraId="2977E479" w14:textId="1D0F944B" w:rsidR="004065EF" w:rsidRPr="00FB2F3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B2F32">
        <w:rPr>
          <w:rFonts w:ascii="Calibri" w:eastAsia="Calibri" w:hAnsi="Calibri" w:cs="Calibri"/>
          <w:sz w:val="26"/>
          <w:szCs w:val="26"/>
        </w:rPr>
        <w:t xml:space="preserve">Rozmawialiśmy w innym fragmencie o kontekście historycznym i geograficznym, ale Księga Jozuego nie odnosi się tylko do wydarzeń, miejsc i ludzi, którzy wydarzyli się w czasie rzeczywistym, przestrzeni i historii, ale jest także kompozycją literacką. Jest to księga słów napisana przez kogoś w określonym celu. Zamiar, o którym mówiliśmy w innym fragmencie, jest taki, że Bożym darem w postaci ziemi obiecanej jest lud Izraela i tak dalej.</w:t>
      </w:r>
    </w:p>
    <w:p w14:paraId="7784B8B7" w14:textId="77777777" w:rsidR="004065EF" w:rsidRPr="00FB2F32" w:rsidRDefault="004065EF">
      <w:pPr>
        <w:rPr>
          <w:sz w:val="26"/>
          <w:szCs w:val="26"/>
        </w:rPr>
      </w:pPr>
    </w:p>
    <w:p w14:paraId="39AF3E9D" w14:textId="3403CAB9" w:rsidR="004065EF" w:rsidRPr="00FB2F3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B2F32">
        <w:rPr>
          <w:rFonts w:ascii="Calibri" w:eastAsia="Calibri" w:hAnsi="Calibri" w:cs="Calibri"/>
          <w:sz w:val="26"/>
          <w:szCs w:val="26"/>
        </w:rPr>
        <w:t xml:space="preserve">Ale pomyślmy teraz o Księdze Jozuego w jej kontekście literackim, a mianowicie w miejscu w kanonie, miejscu w Starym Testamencie, gdzie się ona pojawia. Tradycyjnie więc mamy pięć pierwszych ksiąg Biblii: Rodzaju, Wyjścia, Kapłańskiej, Liczb i Powtórzonego Prawa, które nazywamy Pięcioksięgiem. Podział jest tutaj i logika za tym stoi, czasami nazywane są księgami Mojżesza, a dzieje się tak dlatego, że Mojżesz był głównym autorem tych ksiąg.</w:t>
      </w:r>
    </w:p>
    <w:p w14:paraId="1301E9E0" w14:textId="77777777" w:rsidR="004065EF" w:rsidRPr="00FB2F32" w:rsidRDefault="004065EF">
      <w:pPr>
        <w:rPr>
          <w:sz w:val="26"/>
          <w:szCs w:val="26"/>
        </w:rPr>
      </w:pPr>
    </w:p>
    <w:p w14:paraId="4B75EBE0" w14:textId="77777777" w:rsidR="004065EF" w:rsidRPr="00FB2F3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B2F32">
        <w:rPr>
          <w:rFonts w:ascii="Calibri" w:eastAsia="Calibri" w:hAnsi="Calibri" w:cs="Calibri"/>
          <w:sz w:val="26"/>
          <w:szCs w:val="26"/>
        </w:rPr>
        <w:t xml:space="preserve">Mojżesz umiera pod koniec Księgi Powtórzonego Prawa, jest to więc logiczny podział większej części Biblii. Następnie, zgodnie z tradycją protestancką, zwykle mówimy o księgach historycznych, od Jozuego aż do 2 Królów, a nawet przez całą Księgę Kronik jako Nehemiasz Estera. Nie do końca podoba mi się to określenie, bo mogłoby sugerować, że inne części nie mają charakteru historycznego.</w:t>
      </w:r>
    </w:p>
    <w:p w14:paraId="05E6BE61" w14:textId="77777777" w:rsidR="004065EF" w:rsidRPr="00FB2F32" w:rsidRDefault="004065EF">
      <w:pPr>
        <w:rPr>
          <w:sz w:val="26"/>
          <w:szCs w:val="26"/>
        </w:rPr>
      </w:pPr>
    </w:p>
    <w:p w14:paraId="00224617" w14:textId="572145E2" w:rsidR="004065EF" w:rsidRPr="00FB2F3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B2F32">
        <w:rPr>
          <w:rFonts w:ascii="Calibri" w:eastAsia="Calibri" w:hAnsi="Calibri" w:cs="Calibri"/>
          <w:sz w:val="26"/>
          <w:szCs w:val="26"/>
        </w:rPr>
        <w:t xml:space="preserve">Powiedziałbym, że fabuła Księgi Jozuego nawiązuje do fabuły Księgi Liczb, Księgi Wyjścia i Księgi Rodzaju, a zatem będą one historyczne również w tym sensie, czyli sekcje narracyjne. Ale to określenie dla wygody. Opowiada historię, kiedy Izrael wkroczył do tej ziemi, a jeśli pójdziesz do Królów, 2 Królów, to właśnie tam Izrael zostanie zabrany z tej ziemi.</w:t>
      </w:r>
    </w:p>
    <w:p w14:paraId="3DE79255" w14:textId="77777777" w:rsidR="004065EF" w:rsidRPr="00FB2F32" w:rsidRDefault="004065EF">
      <w:pPr>
        <w:rPr>
          <w:sz w:val="26"/>
          <w:szCs w:val="26"/>
        </w:rPr>
      </w:pPr>
    </w:p>
    <w:p w14:paraId="77E5A6A3" w14:textId="24382E78" w:rsidR="004065EF" w:rsidRPr="00FB2F32" w:rsidRDefault="0036649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B2F32">
        <w:rPr>
          <w:rFonts w:ascii="Calibri" w:eastAsia="Calibri" w:hAnsi="Calibri" w:cs="Calibri"/>
          <w:sz w:val="26"/>
          <w:szCs w:val="26"/>
        </w:rPr>
        <w:t xml:space="preserve">A więc jest to mniej więcej 400 lat, albo więcej niż 400, może 800 albo 900 lat życia Izraela na tej ziemi. W tradycji żydowskiej są to zwani dawni prorocy, Jozue, Sędziowie, 1 Księga Samuela i 1 Księga Królewska. I nie są prorokami w tym samym sensie, w jakim są Izajasz, Jeremiasz, Ezechiel i inni, ale w tym sensie, że prorocy są ludźmi, którzy wypowiadają słowa od Boga, rzecznikami Boga, jak Izajasz i inni mówili na ulicach Jerozolimy lub w Samarii.</w:t>
      </w:r>
    </w:p>
    <w:p w14:paraId="4036A8AF" w14:textId="77777777" w:rsidR="004065EF" w:rsidRPr="00FB2F32" w:rsidRDefault="004065EF">
      <w:pPr>
        <w:rPr>
          <w:sz w:val="26"/>
          <w:szCs w:val="26"/>
        </w:rPr>
      </w:pPr>
    </w:p>
    <w:p w14:paraId="0BF229F4" w14:textId="4D44C36F" w:rsidR="004065EF" w:rsidRPr="00FB2F3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B2F32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FB2F32">
        <w:rPr>
          <w:rFonts w:ascii="Calibri" w:eastAsia="Calibri" w:hAnsi="Calibri" w:cs="Calibri"/>
          <w:sz w:val="26"/>
          <w:szCs w:val="26"/>
        </w:rPr>
        <w:t xml:space="preserve">Autorzy tych ksiąg przekazują słowa od Boga w inny sposób. Zapisują wydarzenia i interpretują je oczami Boga. </w:t>
      </w:r>
      <w:r xmlns:w="http://schemas.openxmlformats.org/wordprocessingml/2006/main" w:rsidR="00366490" w:rsidRPr="00FB2F32">
        <w:rPr>
          <w:rFonts w:ascii="Calibri" w:eastAsia="Calibri" w:hAnsi="Calibri" w:cs="Calibri"/>
          <w:sz w:val="26"/>
          <w:szCs w:val="26"/>
        </w:rPr>
        <w:t xml:space="preserve">W tym sensie można ich nazwać prorokami.</w:t>
      </w:r>
    </w:p>
    <w:p w14:paraId="64402A17" w14:textId="77777777" w:rsidR="004065EF" w:rsidRPr="00FB2F32" w:rsidRDefault="004065EF">
      <w:pPr>
        <w:rPr>
          <w:sz w:val="26"/>
          <w:szCs w:val="26"/>
        </w:rPr>
      </w:pPr>
    </w:p>
    <w:p w14:paraId="0C9B93E4" w14:textId="61C9BF7E" w:rsidR="004065EF" w:rsidRPr="00FB2F32" w:rsidRDefault="0036649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B2F32">
        <w:rPr>
          <w:rFonts w:ascii="Calibri" w:eastAsia="Calibri" w:hAnsi="Calibri" w:cs="Calibri"/>
          <w:sz w:val="26"/>
          <w:szCs w:val="26"/>
        </w:rPr>
        <w:t xml:space="preserve">Zatem księga Jozuego jest głową ksiąg historycznych, pierwszą księgą życia w tej ziemi. Jeśli zagłębisz się w literaturę Starego Testamentu, natkniesz się na teorie kompozycji, które mogą się od nich nieco różnić. Jedną z głównych teorii, która przyjęła się kilka wieków temu, w XX wieku, była teoria, że historia z Księgi Rodzaju tak naprawdę nie kończyła się na Księdze Powtórzonego Prawa, ale na Jozuem.</w:t>
      </w:r>
    </w:p>
    <w:p w14:paraId="47855C02" w14:textId="77777777" w:rsidR="004065EF" w:rsidRPr="00FB2F32" w:rsidRDefault="004065EF">
      <w:pPr>
        <w:rPr>
          <w:sz w:val="26"/>
          <w:szCs w:val="26"/>
        </w:rPr>
      </w:pPr>
    </w:p>
    <w:p w14:paraId="62278BD2" w14:textId="79BD9E4F" w:rsidR="004065EF" w:rsidRPr="00FB2F32" w:rsidRDefault="00366490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Powinniśmy pomyśleć o czymś zwanym Hexateuch. Nazwa Pięcioksięgu wzięła się od słowa penta oznaczającego pięć. Tak więc w pierwszych pięciu książkach myślimy o pięciokącie jako o obiekcie pięciobocznym. Sześciokąt to sześcioboczna struktura geometryczna.</w:t>
      </w:r>
    </w:p>
    <w:p w14:paraId="222BE1FD" w14:textId="77777777" w:rsidR="004065EF" w:rsidRPr="00FB2F32" w:rsidRDefault="004065EF">
      <w:pPr>
        <w:rPr>
          <w:sz w:val="26"/>
          <w:szCs w:val="26"/>
        </w:rPr>
      </w:pPr>
    </w:p>
    <w:p w14:paraId="08897391" w14:textId="6DD3299C" w:rsidR="004065EF" w:rsidRPr="00FB2F32" w:rsidRDefault="0036649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B2F32">
        <w:rPr>
          <w:rFonts w:ascii="Calibri" w:eastAsia="Calibri" w:hAnsi="Calibri" w:cs="Calibri"/>
          <w:sz w:val="26"/>
          <w:szCs w:val="26"/>
        </w:rPr>
        <w:t xml:space="preserve">Zatem Heksateuch byłby pierwszymi sześcioma księgami Starego Testamentu. Uczeni wymyślili tę teorię pod koniec XIX i na początku XX wieku, myśląc, że nie, Mojżesz nie był autorem Pięcioksięgu, ale ktoś o tym pisał znacznie później i wątki, które przewijały się przez wszystkie te księgi, kończyły się na Jozue. Jest w tym pewna logika, ponieważ w Joshuy jest wiele elementów, które patrzą wstecz, gdy spełnienie obietnic i fabuła dobiegną końca.</w:t>
      </w:r>
    </w:p>
    <w:p w14:paraId="1C232E30" w14:textId="77777777" w:rsidR="004065EF" w:rsidRPr="00FB2F32" w:rsidRDefault="004065EF">
      <w:pPr>
        <w:rPr>
          <w:sz w:val="26"/>
          <w:szCs w:val="26"/>
        </w:rPr>
      </w:pPr>
    </w:p>
    <w:p w14:paraId="0CAF96DF" w14:textId="14119B92" w:rsidR="004065EF" w:rsidRPr="00FB2F3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B2F32">
        <w:rPr>
          <w:rFonts w:ascii="Calibri" w:eastAsia="Calibri" w:hAnsi="Calibri" w:cs="Calibri"/>
          <w:sz w:val="26"/>
          <w:szCs w:val="26"/>
        </w:rPr>
        <w:t xml:space="preserve">Ruch w Pięcioksięgu jest zawsze skierowany w przyszłość. Bóg obiecuje tę ziemię Abrahamowi i wkrótce po upływie kilkudziesięciu lat jego potomków nie ma już w tej ziemi. Są w Egipcie.</w:t>
      </w:r>
    </w:p>
    <w:p w14:paraId="473B9BAA" w14:textId="77777777" w:rsidR="004065EF" w:rsidRPr="00FB2F32" w:rsidRDefault="004065EF">
      <w:pPr>
        <w:rPr>
          <w:sz w:val="26"/>
          <w:szCs w:val="26"/>
        </w:rPr>
      </w:pPr>
    </w:p>
    <w:p w14:paraId="54CF9A81" w14:textId="0E0FD6EC" w:rsidR="004065EF" w:rsidRPr="00FB2F3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B2F32">
        <w:rPr>
          <w:rFonts w:ascii="Calibri" w:eastAsia="Calibri" w:hAnsi="Calibri" w:cs="Calibri"/>
          <w:sz w:val="26"/>
          <w:szCs w:val="26"/>
        </w:rPr>
        <w:t xml:space="preserve">A potem dalsza część Księgi Wyjścia zmierza w stronę ziemi obiecanej. Księga Liczb wędruje przez pustynię w stronę ziemi obiecanej. Zatem zawsze jest ruch do przodu.</w:t>
      </w:r>
    </w:p>
    <w:p w14:paraId="3B672739" w14:textId="77777777" w:rsidR="004065EF" w:rsidRPr="00FB2F32" w:rsidRDefault="004065EF">
      <w:pPr>
        <w:rPr>
          <w:sz w:val="26"/>
          <w:szCs w:val="26"/>
        </w:rPr>
      </w:pPr>
    </w:p>
    <w:p w14:paraId="7F587FCF" w14:textId="01A49134" w:rsidR="004065EF" w:rsidRPr="00FB2F3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B2F32">
        <w:rPr>
          <w:rFonts w:ascii="Calibri" w:eastAsia="Calibri" w:hAnsi="Calibri" w:cs="Calibri"/>
          <w:sz w:val="26"/>
          <w:szCs w:val="26"/>
        </w:rPr>
        <w:t xml:space="preserve">Na końcu każdej księgi Pięcioksięgu znajdujemy tego rodzaju spojrzenie w przyszłość. Pod koniec Księgi Rodzaju przebywają na wygnaniu w Egipcie i chcą wrócić do kraju. Exodus, to samo.</w:t>
      </w:r>
    </w:p>
    <w:p w14:paraId="012C1AB2" w14:textId="77777777" w:rsidR="004065EF" w:rsidRPr="00FB2F32" w:rsidRDefault="004065EF">
      <w:pPr>
        <w:rPr>
          <w:sz w:val="26"/>
          <w:szCs w:val="26"/>
        </w:rPr>
      </w:pPr>
    </w:p>
    <w:p w14:paraId="1408C0C2" w14:textId="4911BF27" w:rsidR="004065EF" w:rsidRPr="00FB2F3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B2F32">
        <w:rPr>
          <w:rFonts w:ascii="Calibri" w:eastAsia="Calibri" w:hAnsi="Calibri" w:cs="Calibri"/>
          <w:sz w:val="26"/>
          <w:szCs w:val="26"/>
        </w:rPr>
        <w:t xml:space="preserve">Chcą wrócić na ziemię i tak dalej. Zatem wszystkie te książki, te pięć książek, patrzą w przyszłość. Wypełnienie tego znajdujemy w Księdze Jozuego.</w:t>
      </w:r>
    </w:p>
    <w:p w14:paraId="2ED79EC2" w14:textId="77777777" w:rsidR="004065EF" w:rsidRPr="00FB2F32" w:rsidRDefault="004065EF">
      <w:pPr>
        <w:rPr>
          <w:sz w:val="26"/>
          <w:szCs w:val="26"/>
        </w:rPr>
      </w:pPr>
    </w:p>
    <w:p w14:paraId="20F23402" w14:textId="198ECEC6" w:rsidR="004065EF" w:rsidRPr="00FB2F3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B2F32">
        <w:rPr>
          <w:rFonts w:ascii="Calibri" w:eastAsia="Calibri" w:hAnsi="Calibri" w:cs="Calibri"/>
          <w:sz w:val="26"/>
          <w:szCs w:val="26"/>
        </w:rPr>
        <w:t xml:space="preserve">I w Księdze Jozuego jest pewne poczucie, że jesteśmy tutaj. Wreszcie, po tych wszystkich wiekach, obietnice się spełniają, jesteśmy na ziemi i życie jest dobre. Można więc odnieść wrażenie, że Księga Jozuego wspomina to wszystko z uznaniem.</w:t>
      </w:r>
    </w:p>
    <w:p w14:paraId="06C2036A" w14:textId="77777777" w:rsidR="004065EF" w:rsidRPr="00FB2F32" w:rsidRDefault="004065EF">
      <w:pPr>
        <w:rPr>
          <w:sz w:val="26"/>
          <w:szCs w:val="26"/>
        </w:rPr>
      </w:pPr>
    </w:p>
    <w:p w14:paraId="5C09AAB2" w14:textId="750FE59B" w:rsidR="004065EF" w:rsidRPr="00FB2F3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B2F32">
        <w:rPr>
          <w:rFonts w:ascii="Calibri" w:eastAsia="Calibri" w:hAnsi="Calibri" w:cs="Calibri"/>
          <w:sz w:val="26"/>
          <w:szCs w:val="26"/>
        </w:rPr>
        <w:t xml:space="preserve">Życie jest teraz dobre. W Księdze Jozuego jest stabilizacja, której nie znajdziesz w większości innych ksiąg. Zatem prawdą jest, że ta książka spogląda wstecz.</w:t>
      </w:r>
    </w:p>
    <w:p w14:paraId="79E66529" w14:textId="77777777" w:rsidR="004065EF" w:rsidRPr="00FB2F32" w:rsidRDefault="004065EF">
      <w:pPr>
        <w:rPr>
          <w:sz w:val="26"/>
          <w:szCs w:val="26"/>
        </w:rPr>
      </w:pPr>
    </w:p>
    <w:p w14:paraId="16C3CD09" w14:textId="12E4D316" w:rsidR="004065EF" w:rsidRPr="00FB2F3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B2F32">
        <w:rPr>
          <w:rFonts w:ascii="Calibri" w:eastAsia="Calibri" w:hAnsi="Calibri" w:cs="Calibri"/>
          <w:sz w:val="26"/>
          <w:szCs w:val="26"/>
        </w:rPr>
        <w:t xml:space="preserve">Jednak teoria ta ignoruje tradycyjne rozumienie Pięcioksięgu jako pochodzącego spod pióra Mojżesza lub większości Pięcioksięgu pochodzącego spod pióra Mojżesza. Tak więc w 1943 roku niemiecki uczony Martin Noth zaproponował inną teorię. Zaproponował teorię zwaną historią deuteronomistyczną.</w:t>
      </w:r>
    </w:p>
    <w:p w14:paraId="709D7E8D" w14:textId="77777777" w:rsidR="004065EF" w:rsidRPr="00FB2F32" w:rsidRDefault="004065EF">
      <w:pPr>
        <w:rPr>
          <w:sz w:val="26"/>
          <w:szCs w:val="26"/>
        </w:rPr>
      </w:pPr>
    </w:p>
    <w:p w14:paraId="650CCE79" w14:textId="703869ED" w:rsidR="004065EF" w:rsidRPr="00FB2F3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B2F32">
        <w:rPr>
          <w:rFonts w:ascii="Calibri" w:eastAsia="Calibri" w:hAnsi="Calibri" w:cs="Calibri"/>
          <w:sz w:val="26"/>
          <w:szCs w:val="26"/>
        </w:rPr>
        <w:t xml:space="preserve">I Noth nie uważał, że punkt końcowy powinien znajdować się tutaj. A Księgę Powtórzonego Prawa należy rozumieć jako głowę wszystkich tych ksiąg. Jest oczywiste, że Księga Powtórzonego Prawa wybiega daleko w przyszłość, na życie w tej ziemi, na instrukcje Mojżesza pod koniec jego życia, na to, jak powinni żyć i tak dalej.</w:t>
      </w:r>
    </w:p>
    <w:p w14:paraId="3759DD7C" w14:textId="77777777" w:rsidR="004065EF" w:rsidRPr="00FB2F32" w:rsidRDefault="004065EF">
      <w:pPr>
        <w:rPr>
          <w:sz w:val="26"/>
          <w:szCs w:val="26"/>
        </w:rPr>
      </w:pPr>
    </w:p>
    <w:p w14:paraId="0D92BC9C" w14:textId="010E00C3" w:rsidR="004065EF" w:rsidRPr="00FB2F3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B2F32">
        <w:rPr>
          <w:rFonts w:ascii="Calibri" w:eastAsia="Calibri" w:hAnsi="Calibri" w:cs="Calibri"/>
          <w:sz w:val="26"/>
          <w:szCs w:val="26"/>
        </w:rPr>
        <w:t xml:space="preserve">I że w księgach Jozuego, Sędziów, Samuela i Królów można znaleźć tematy, które po raz pierwszy zostały wyrażone w Księdze Powtórzonego Prawa. Zatem Noth argumentował, że Księga Królewska kończy się zniszczeniem Jerozolimy i uwolnieniem Jehojachina z więzienia w roku 561, setki lat później. I tak Martin Noth argumentował, że cały zbiór tych wszystkich wielkich ksiąg został napisany podczas wygnania po upadku Jerozolimy.</w:t>
      </w:r>
    </w:p>
    <w:p w14:paraId="515A68FD" w14:textId="77777777" w:rsidR="004065EF" w:rsidRPr="00FB2F32" w:rsidRDefault="004065EF">
      <w:pPr>
        <w:rPr>
          <w:sz w:val="26"/>
          <w:szCs w:val="26"/>
        </w:rPr>
      </w:pPr>
    </w:p>
    <w:p w14:paraId="147A9438" w14:textId="36151D50" w:rsidR="004065EF" w:rsidRPr="00FB2F3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B2F32">
        <w:rPr>
          <w:rFonts w:ascii="Calibri" w:eastAsia="Calibri" w:hAnsi="Calibri" w:cs="Calibri"/>
          <w:sz w:val="26"/>
          <w:szCs w:val="26"/>
        </w:rPr>
        <w:t xml:space="preserve">Być może fragmenty zostały napisane wcześniej, ale wszystko to składa się na jedną wielką kompozycję zwaną Historią Deuteronomistyczną. I znowu zgodziłbym się, że wiele z tego, co argumentował Noth, ma sens. Ponieważ tak, Księga Powtórzonego Prawa rzeczywiście patrzy w przyszłość.</w:t>
      </w:r>
    </w:p>
    <w:p w14:paraId="3D94E7CF" w14:textId="77777777" w:rsidR="004065EF" w:rsidRPr="00FB2F32" w:rsidRDefault="004065EF">
      <w:pPr>
        <w:rPr>
          <w:sz w:val="26"/>
          <w:szCs w:val="26"/>
        </w:rPr>
      </w:pPr>
    </w:p>
    <w:p w14:paraId="148DC446" w14:textId="360B3ED6" w:rsidR="004065EF" w:rsidRPr="00FB2F3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B2F32">
        <w:rPr>
          <w:rFonts w:ascii="Calibri" w:eastAsia="Calibri" w:hAnsi="Calibri" w:cs="Calibri"/>
          <w:sz w:val="26"/>
          <w:szCs w:val="26"/>
        </w:rPr>
        <w:t xml:space="preserve">Wiele rzeczy związanych z posłuszeństwem, Bożymi obietnicami i tak dalej, które są wspomniane w Księdze Powtórzonego Prawa, spełnia się w tych księgach. Nawet niektóre powody upadku Samarii i Jerozolimy opisane w 2 Księdze Królewskiej przypominają ostrzeżenia z Księgi Powtórzonego Prawa. Zatem wyraźnie widać ten wątek i tę jedność tematu.</w:t>
      </w:r>
    </w:p>
    <w:p w14:paraId="1DAF5D44" w14:textId="77777777" w:rsidR="004065EF" w:rsidRPr="00FB2F32" w:rsidRDefault="004065EF">
      <w:pPr>
        <w:rPr>
          <w:sz w:val="26"/>
          <w:szCs w:val="26"/>
        </w:rPr>
      </w:pPr>
    </w:p>
    <w:p w14:paraId="6B99B724" w14:textId="77777777" w:rsidR="004065EF" w:rsidRPr="00FB2F3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B2F32">
        <w:rPr>
          <w:rFonts w:ascii="Calibri" w:eastAsia="Calibri" w:hAnsi="Calibri" w:cs="Calibri"/>
          <w:sz w:val="26"/>
          <w:szCs w:val="26"/>
        </w:rPr>
        <w:t xml:space="preserve">Stwierdzenie jedności tematu to jedno. Inną rzeczą jest stwierdzenie, że istnieje jedność autorstwa. I nie zgodziłbym się z teorią Note'a, że to wszystko zostało napisane na wygnaniu.</w:t>
      </w:r>
    </w:p>
    <w:p w14:paraId="0313DE30" w14:textId="77777777" w:rsidR="004065EF" w:rsidRPr="00FB2F32" w:rsidRDefault="004065EF">
      <w:pPr>
        <w:rPr>
          <w:sz w:val="26"/>
          <w:szCs w:val="26"/>
        </w:rPr>
      </w:pPr>
    </w:p>
    <w:p w14:paraId="2C3F7F87" w14:textId="77777777" w:rsidR="004065EF" w:rsidRPr="00FB2F3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B2F32">
        <w:rPr>
          <w:rFonts w:ascii="Calibri" w:eastAsia="Calibri" w:hAnsi="Calibri" w:cs="Calibri"/>
          <w:sz w:val="26"/>
          <w:szCs w:val="26"/>
        </w:rPr>
        <w:t xml:space="preserve">Ponownie chciałbym potwierdzić tradycyjną perspektywę, że Pięcioksiąg był w istocie mozaiką. Celem tego jest jednak pokazanie kontekstu Księgi Jozuego jako księgi na zawiasach. W pewnym sensie zarówno Księga Powtórzonego Prawa, jak i Księga Jozuego są księgami na zawiasach.</w:t>
      </w:r>
    </w:p>
    <w:p w14:paraId="1B0C1858" w14:textId="77777777" w:rsidR="004065EF" w:rsidRPr="00FB2F32" w:rsidRDefault="004065EF">
      <w:pPr>
        <w:rPr>
          <w:sz w:val="26"/>
          <w:szCs w:val="26"/>
        </w:rPr>
      </w:pPr>
    </w:p>
    <w:p w14:paraId="3A0E9839" w14:textId="77777777" w:rsidR="004065EF" w:rsidRPr="00FB2F3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B2F32">
        <w:rPr>
          <w:rFonts w:ascii="Calibri" w:eastAsia="Calibri" w:hAnsi="Calibri" w:cs="Calibri"/>
          <w:sz w:val="26"/>
          <w:szCs w:val="26"/>
        </w:rPr>
        <w:t xml:space="preserve">Ponieważ Księga Powtórzonego Prawa składa się z końcowych przemówień Mojżesza, w których spogląda wstecz na swoje życie z Izraelem i mówi: Oto jak Bóg był nam wierny przez pokolenia, od Abrahama, a szczególnie dla nas przez te ostatnie 40 lat. Oto jak Bóg był z nami w Egipcie i na pustyni i tak dalej. I to jest spojrzenie wstecz w Księdze Powtórzonego Prawa.</w:t>
      </w:r>
    </w:p>
    <w:p w14:paraId="5CF29BA5" w14:textId="77777777" w:rsidR="004065EF" w:rsidRPr="00FB2F32" w:rsidRDefault="004065EF">
      <w:pPr>
        <w:rPr>
          <w:sz w:val="26"/>
          <w:szCs w:val="26"/>
        </w:rPr>
      </w:pPr>
    </w:p>
    <w:p w14:paraId="6249FA15" w14:textId="21DC3F38" w:rsidR="004065EF" w:rsidRPr="00FB2F3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B2F32">
        <w:rPr>
          <w:rFonts w:ascii="Calibri" w:eastAsia="Calibri" w:hAnsi="Calibri" w:cs="Calibri"/>
          <w:sz w:val="26"/>
          <w:szCs w:val="26"/>
        </w:rPr>
        <w:t xml:space="preserve">Ale patrzy w przyszłość, ponieważ Mojżesz mówi: „Teraz zejdę ze sceny”. Wejdziesz do ziemi obiecanej i oto rzeczy, o których musisz pamiętać. Częścią Księgi Powtórzonego Prawa jest powtórzenie praw podanych 40 lat wcześniej.</w:t>
      </w:r>
    </w:p>
    <w:p w14:paraId="4B0BDC1B" w14:textId="77777777" w:rsidR="004065EF" w:rsidRPr="00FB2F32" w:rsidRDefault="004065EF">
      <w:pPr>
        <w:rPr>
          <w:sz w:val="26"/>
          <w:szCs w:val="26"/>
        </w:rPr>
      </w:pPr>
    </w:p>
    <w:p w14:paraId="2107E7E7" w14:textId="77777777" w:rsidR="004065EF" w:rsidRPr="00FB2F3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B2F32">
        <w:rPr>
          <w:rFonts w:ascii="Calibri" w:eastAsia="Calibri" w:hAnsi="Calibri" w:cs="Calibri"/>
          <w:sz w:val="26"/>
          <w:szCs w:val="26"/>
        </w:rPr>
        <w:t xml:space="preserve">Już sama nazwa księgi Powtórzonego Prawa pochodzi od słów Deutero i Nomos, co oznacza drugie prawo. Prawo zostało pierwotnie dane pierwszemu pokoleniu na górze Synaj. Ci ludzie wymarli na pustyni i teraz Mojżesz przemawiał do drugiego pokolenia.</w:t>
      </w:r>
    </w:p>
    <w:p w14:paraId="47585891" w14:textId="77777777" w:rsidR="004065EF" w:rsidRPr="00FB2F32" w:rsidRDefault="004065EF">
      <w:pPr>
        <w:rPr>
          <w:sz w:val="26"/>
          <w:szCs w:val="26"/>
        </w:rPr>
      </w:pPr>
    </w:p>
    <w:p w14:paraId="234A8FBD" w14:textId="705970ED" w:rsidR="004065EF" w:rsidRPr="00FB2F3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B2F32">
        <w:rPr>
          <w:rFonts w:ascii="Calibri" w:eastAsia="Calibri" w:hAnsi="Calibri" w:cs="Calibri"/>
          <w:sz w:val="26"/>
          <w:szCs w:val="26"/>
        </w:rPr>
        <w:t xml:space="preserve">Zatem znowu patrzymy wstecz, ale także patrzymy w przyszłość. Jozue, to samo. Patrzy wstecz i mówi: to jest spełnienie obietnic.</w:t>
      </w:r>
    </w:p>
    <w:p w14:paraId="7E79100F" w14:textId="77777777" w:rsidR="004065EF" w:rsidRPr="00FB2F32" w:rsidRDefault="004065EF">
      <w:pPr>
        <w:rPr>
          <w:sz w:val="26"/>
          <w:szCs w:val="26"/>
        </w:rPr>
      </w:pPr>
    </w:p>
    <w:p w14:paraId="056A1DD1" w14:textId="042C4573" w:rsidR="004065EF" w:rsidRPr="00FB2F3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B2F32">
        <w:rPr>
          <w:rFonts w:ascii="Calibri" w:eastAsia="Calibri" w:hAnsi="Calibri" w:cs="Calibri"/>
          <w:sz w:val="26"/>
          <w:szCs w:val="26"/>
        </w:rPr>
        <w:t xml:space="preserve">A jednak jest też sposób, w jaki Jozue patrzy w przyszłość jak na pierwszą księgę, w której Izrael żył aż do końca 2 Królów, kiedy Izrael został zabrany z ziemi. Zatem Księga Jozuego to taka, która spogląda wstecz i do przodu w zakresie tych ksiąg tutaj. Myślę, że warto pamiętać o tej perspektywie.</w:t>
      </w:r>
    </w:p>
    <w:p w14:paraId="530692E5" w14:textId="77777777" w:rsidR="004065EF" w:rsidRPr="00FB2F32" w:rsidRDefault="004065EF">
      <w:pPr>
        <w:rPr>
          <w:sz w:val="26"/>
          <w:szCs w:val="26"/>
        </w:rPr>
      </w:pPr>
    </w:p>
    <w:p w14:paraId="3E3E4F55" w14:textId="1620D56D" w:rsidR="004065EF" w:rsidRPr="00FB2F3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B2F32">
        <w:rPr>
          <w:rFonts w:ascii="Calibri" w:eastAsia="Calibri" w:hAnsi="Calibri" w:cs="Calibri"/>
          <w:sz w:val="26"/>
          <w:szCs w:val="26"/>
        </w:rPr>
        <w:t xml:space="preserve">To jest dr David Howard w swoim nauczaniu o Jozue poprzez Rut. To jest sesja 3, Wprowadzenie do Jozuego, część 3, Kontekst literacki.</w:t>
      </w:r>
    </w:p>
    <w:sectPr w:rsidR="004065EF" w:rsidRPr="00FB2F32">
      <w:headerReference w:type="default" r:id="rId7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84E29" w14:textId="77777777" w:rsidR="00DE7F4E" w:rsidRDefault="00DE7F4E" w:rsidP="00FB2F32">
      <w:r>
        <w:separator/>
      </w:r>
    </w:p>
  </w:endnote>
  <w:endnote w:type="continuationSeparator" w:id="0">
    <w:p w14:paraId="52F4EFC0" w14:textId="77777777" w:rsidR="00DE7F4E" w:rsidRDefault="00DE7F4E" w:rsidP="00FB2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A Times New Roman">
    <w:panose1 w:val="02020603050405020304"/>
    <w:charset w:val="00"/>
    <w:family w:val="roman"/>
    <w:pitch w:val="variable"/>
    <w:sig w:usb0="E0002BAF" w:usb1="4000387A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4A34A" w14:textId="77777777" w:rsidR="00DE7F4E" w:rsidRDefault="00DE7F4E" w:rsidP="00FB2F32">
      <w:r>
        <w:separator/>
      </w:r>
    </w:p>
  </w:footnote>
  <w:footnote w:type="continuationSeparator" w:id="0">
    <w:p w14:paraId="40BCB098" w14:textId="77777777" w:rsidR="00DE7F4E" w:rsidRDefault="00DE7F4E" w:rsidP="00FB2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861735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717E358" w14:textId="21910FFA" w:rsidR="00FB2F32" w:rsidRDefault="00FB2F32">
        <w:pPr xmlns:w="http://schemas.openxmlformats.org/wordprocessingml/2006/main">
          <w:pStyle w:val="Header"/>
          <w:jc w:val="right"/>
        </w:pPr>
        <w:r xmlns:w="http://schemas.openxmlformats.org/wordprocessingml/2006/main">
          <w:fldChar xmlns:w="http://schemas.openxmlformats.org/wordprocessingml/2006/main" w:fldCharType="begin"/>
        </w:r>
        <w:r xmlns:w="http://schemas.openxmlformats.org/wordprocessingml/2006/main">
          <w:instrText xmlns:w="http://schemas.openxmlformats.org/wordprocessingml/2006/main" xml:space="preserve"> PAGE   \* MERGEFORMAT </w:instrText>
        </w:r>
        <w:r xmlns:w="http://schemas.openxmlformats.org/wordprocessingml/2006/main">
          <w:fldChar xmlns:w="http://schemas.openxmlformats.org/wordprocessingml/2006/main" w:fldCharType="separate"/>
        </w:r>
        <w:r xmlns:w="http://schemas.openxmlformats.org/wordprocessingml/2006/main">
          <w:rPr>
            <w:noProof/>
          </w:rPr>
          <w:t xml:space="preserve">2</w:t>
        </w:r>
        <w:r xmlns:w="http://schemas.openxmlformats.org/wordprocessingml/2006/main">
          <w:rPr>
            <w:noProof/>
          </w:rPr>
          <w:fldChar xmlns:w="http://schemas.openxmlformats.org/wordprocessingml/2006/main" w:fldCharType="end"/>
        </w:r>
      </w:p>
    </w:sdtContent>
  </w:sdt>
  <w:p w14:paraId="6361EBB6" w14:textId="77777777" w:rsidR="00FB2F32" w:rsidRDefault="00FB2F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3E3540"/>
    <w:multiLevelType w:val="hybridMultilevel"/>
    <w:tmpl w:val="3FD8CA50"/>
    <w:lvl w:ilvl="0" w:tplc="F1C00690">
      <w:start w:val="1"/>
      <w:numFmt w:val="bullet"/>
      <w:lvlText w:val="●"/>
      <w:lvlJc w:val="left"/>
      <w:pPr>
        <w:ind w:left="720" w:hanging="360"/>
      </w:pPr>
    </w:lvl>
    <w:lvl w:ilvl="1" w:tplc="0CB28E9E">
      <w:start w:val="1"/>
      <w:numFmt w:val="bullet"/>
      <w:lvlText w:val="○"/>
      <w:lvlJc w:val="left"/>
      <w:pPr>
        <w:ind w:left="1440" w:hanging="360"/>
      </w:pPr>
    </w:lvl>
    <w:lvl w:ilvl="2" w:tplc="D0640D38">
      <w:start w:val="1"/>
      <w:numFmt w:val="bullet"/>
      <w:lvlText w:val="■"/>
      <w:lvlJc w:val="left"/>
      <w:pPr>
        <w:ind w:left="2160" w:hanging="360"/>
      </w:pPr>
    </w:lvl>
    <w:lvl w:ilvl="3" w:tplc="74206CA6">
      <w:start w:val="1"/>
      <w:numFmt w:val="bullet"/>
      <w:lvlText w:val="●"/>
      <w:lvlJc w:val="left"/>
      <w:pPr>
        <w:ind w:left="2880" w:hanging="360"/>
      </w:pPr>
    </w:lvl>
    <w:lvl w:ilvl="4" w:tplc="9014EFFE">
      <w:start w:val="1"/>
      <w:numFmt w:val="bullet"/>
      <w:lvlText w:val="○"/>
      <w:lvlJc w:val="left"/>
      <w:pPr>
        <w:ind w:left="3600" w:hanging="360"/>
      </w:pPr>
    </w:lvl>
    <w:lvl w:ilvl="5" w:tplc="92C05270">
      <w:start w:val="1"/>
      <w:numFmt w:val="bullet"/>
      <w:lvlText w:val="■"/>
      <w:lvlJc w:val="left"/>
      <w:pPr>
        <w:ind w:left="4320" w:hanging="360"/>
      </w:pPr>
    </w:lvl>
    <w:lvl w:ilvl="6" w:tplc="11D81126">
      <w:start w:val="1"/>
      <w:numFmt w:val="bullet"/>
      <w:lvlText w:val="●"/>
      <w:lvlJc w:val="left"/>
      <w:pPr>
        <w:ind w:left="5040" w:hanging="360"/>
      </w:pPr>
    </w:lvl>
    <w:lvl w:ilvl="7" w:tplc="47F4EFCE">
      <w:start w:val="1"/>
      <w:numFmt w:val="bullet"/>
      <w:lvlText w:val="●"/>
      <w:lvlJc w:val="left"/>
      <w:pPr>
        <w:ind w:left="5760" w:hanging="360"/>
      </w:pPr>
    </w:lvl>
    <w:lvl w:ilvl="8" w:tplc="45682BA2">
      <w:start w:val="1"/>
      <w:numFmt w:val="bullet"/>
      <w:lvlText w:val="●"/>
      <w:lvlJc w:val="left"/>
      <w:pPr>
        <w:ind w:left="6480" w:hanging="360"/>
      </w:pPr>
    </w:lvl>
  </w:abstractNum>
  <w:num w:numId="1" w16cid:durableId="40468662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EF"/>
    <w:rsid w:val="00190C46"/>
    <w:rsid w:val="00366490"/>
    <w:rsid w:val="004065EF"/>
    <w:rsid w:val="004C5FFF"/>
    <w:rsid w:val="00CA0F81"/>
    <w:rsid w:val="00DE7F4E"/>
    <w:rsid w:val="00FB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8AA993"/>
  <w15:docId w15:val="{6A50AE1D-729A-4DDE-8D7C-93D92449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B2F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F32"/>
  </w:style>
  <w:style w:type="paragraph" w:styleId="Footer">
    <w:name w:val="footer"/>
    <w:basedOn w:val="Normal"/>
    <w:link w:val="FooterChar"/>
    <w:uiPriority w:val="99"/>
    <w:unhideWhenUsed/>
    <w:rsid w:val="00FB2F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1527</Words>
  <Characters>6944</Characters>
  <Application>Microsoft Office Word</Application>
  <DocSecurity>0</DocSecurity>
  <Lines>146</Lines>
  <Paragraphs>33</Paragraphs>
  <ScaleCrop>false</ScaleCrop>
  <Company/>
  <LinksUpToDate>false</LinksUpToDate>
  <CharactersWithSpaces>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Howard Josh Ruth Session03 IntroPt3</dc:title>
  <dc:creator>TurboScribe.ai</dc:creator>
  <cp:lastModifiedBy>Ted Hildebrandt</cp:lastModifiedBy>
  <cp:revision>10</cp:revision>
  <dcterms:created xsi:type="dcterms:W3CDTF">2024-02-04T20:10:00Z</dcterms:created>
  <dcterms:modified xsi:type="dcterms:W3CDTF">2024-02-29T11:01:00Z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5141dc4bc1851850d2475b5c9b9ab9efbb96182590f248694d2fee5897b8432f</vt:lpwstr>
  </property>
</Properties>
</file>