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EC" w:rsidRDefault="00047DEC">
      <w:pPr>
        <w:pStyle w:val="PlainText"/>
        <w:pBdr>
          <w:top w:val="thinThickSmallGap" w:sz="24" w:space="1" w:color="auto"/>
          <w:bottom w:val="single" w:sz="8" w:space="1" w:color="auto"/>
        </w:pBdr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Bible 322—AMERICAN CHRISTIANITY</w:t>
      </w:r>
    </w:p>
    <w:p w:rsidR="00047DEC" w:rsidRDefault="00047DEC">
      <w:pPr>
        <w:pStyle w:val="WPNormal"/>
        <w:ind w:right="-2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Outline of Lectures</w:t>
      </w:r>
    </w:p>
    <w:p w:rsidR="00047DEC" w:rsidRDefault="00047DEC">
      <w:pPr>
        <w:pStyle w:val="WP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PART I: Religion in a Colonial Context, 1492-1789</w:t>
      </w:r>
    </w:p>
    <w:p w:rsidR="00047DEC" w:rsidRDefault="00047DEC">
      <w:pPr>
        <w:pStyle w:val="WPNormal"/>
        <w:rPr>
          <w:rFonts w:ascii="Arial" w:hAnsi="Arial"/>
          <w:b/>
          <w:sz w:val="28"/>
        </w:rPr>
      </w:pPr>
    </w:p>
    <w:p w:rsidR="00047DEC" w:rsidRDefault="00047DEC">
      <w:pPr>
        <w:pStyle w:val="WPNormal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I.  </w:t>
      </w:r>
      <w:r>
        <w:rPr>
          <w:rFonts w:ascii="Arial" w:hAnsi="Arial"/>
          <w:b/>
          <w:sz w:val="28"/>
        </w:rPr>
        <w:tab/>
        <w:t>Lecture I:  Puritanism in America</w:t>
      </w:r>
    </w:p>
    <w:p w:rsidR="00047DEC" w:rsidRPr="0026299B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8"/>
        </w:rPr>
        <w:t>A.</w:t>
      </w:r>
      <w:r>
        <w:rPr>
          <w:rFonts w:ascii="Arial" w:hAnsi="Arial"/>
          <w:sz w:val="28"/>
        </w:rPr>
        <w:tab/>
        <w:t>The Colony at Jamestown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B.  </w:t>
      </w:r>
      <w:r>
        <w:rPr>
          <w:rFonts w:ascii="Arial" w:hAnsi="Arial"/>
          <w:sz w:val="28"/>
        </w:rPr>
        <w:tab/>
        <w:t>The Pilgrims come to America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William Brewster (1566-1644)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William Bradford</w:t>
      </w:r>
      <w:r>
        <w:rPr>
          <w:rFonts w:ascii="Arial" w:hAnsi="Arial"/>
          <w:sz w:val="28"/>
        </w:rPr>
        <w:tab/>
        <w:t>(1590-1667)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C.</w:t>
      </w:r>
      <w:r>
        <w:rPr>
          <w:rFonts w:ascii="Arial" w:hAnsi="Arial"/>
          <w:sz w:val="28"/>
        </w:rPr>
        <w:tab/>
        <w:t>Puritan immigration to America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John Cotton (1584-1652)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Richard Mather (1596-1669)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</w:t>
      </w:r>
      <w:r>
        <w:rPr>
          <w:rFonts w:ascii="Arial" w:hAnsi="Arial"/>
          <w:sz w:val="28"/>
        </w:rPr>
        <w:tab/>
        <w:t>Thomas Hooker (1586-1647)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4.</w:t>
      </w:r>
      <w:r>
        <w:rPr>
          <w:rFonts w:ascii="Arial" w:hAnsi="Arial"/>
          <w:sz w:val="28"/>
        </w:rPr>
        <w:tab/>
        <w:t>John Winthrop (1588-1649)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D.</w:t>
      </w:r>
      <w:r>
        <w:rPr>
          <w:rFonts w:ascii="Arial" w:hAnsi="Arial"/>
          <w:sz w:val="28"/>
        </w:rPr>
        <w:tab/>
        <w:t>Reaction to the Puritans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  Roger Williams (1604-1683)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  The Quakers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  Anne Hutchinson (1591-1643)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E.</w:t>
      </w:r>
      <w:r>
        <w:rPr>
          <w:rFonts w:ascii="Arial" w:hAnsi="Arial"/>
          <w:sz w:val="28"/>
        </w:rPr>
        <w:tab/>
        <w:t>The decline of Puritanism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F.</w:t>
      </w:r>
      <w:r>
        <w:rPr>
          <w:rFonts w:ascii="Arial" w:hAnsi="Arial"/>
          <w:sz w:val="28"/>
        </w:rPr>
        <w:tab/>
        <w:t>Contributions of the Puritans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G.</w:t>
      </w:r>
      <w:r>
        <w:rPr>
          <w:rFonts w:ascii="Arial" w:hAnsi="Arial"/>
          <w:sz w:val="28"/>
        </w:rPr>
        <w:tab/>
        <w:t>Puritan theology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II.</w:t>
      </w:r>
      <w:r>
        <w:rPr>
          <w:rFonts w:ascii="Arial" w:hAnsi="Arial"/>
          <w:b/>
          <w:sz w:val="28"/>
        </w:rPr>
        <w:tab/>
        <w:t>Lecture II:  Roger Williams and Religious Diversity in Rhode Island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Roger Williams (1604-1683)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Rhode Island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C.</w:t>
      </w:r>
      <w:r>
        <w:rPr>
          <w:rFonts w:ascii="Arial" w:hAnsi="Arial"/>
          <w:sz w:val="28"/>
        </w:rPr>
        <w:tab/>
        <w:t>George Fox (1624-1691)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D.</w:t>
      </w:r>
      <w:r>
        <w:rPr>
          <w:rFonts w:ascii="Arial" w:hAnsi="Arial"/>
          <w:sz w:val="28"/>
        </w:rPr>
        <w:tab/>
        <w:t>The rise of the Quakers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E.</w:t>
      </w:r>
      <w:r>
        <w:rPr>
          <w:rFonts w:ascii="Arial" w:hAnsi="Arial"/>
          <w:sz w:val="28"/>
        </w:rPr>
        <w:tab/>
        <w:t>The Quakers come to America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F.</w:t>
      </w:r>
      <w:r>
        <w:rPr>
          <w:rFonts w:ascii="Arial" w:hAnsi="Arial"/>
          <w:sz w:val="28"/>
        </w:rPr>
        <w:tab/>
        <w:t>Baptist denominations in Rhode Island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G.</w:t>
      </w:r>
      <w:r>
        <w:rPr>
          <w:rFonts w:ascii="Arial" w:hAnsi="Arial"/>
          <w:sz w:val="28"/>
        </w:rPr>
        <w:tab/>
        <w:t>Continued history of the Baptists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III.</w:t>
      </w:r>
      <w:r>
        <w:rPr>
          <w:rFonts w:ascii="Arial" w:hAnsi="Arial"/>
          <w:b/>
          <w:sz w:val="28"/>
        </w:rPr>
        <w:tab/>
        <w:t>Lecture III:  Denominationalism in the American Colonies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New England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Rhode Island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C.</w:t>
      </w:r>
      <w:r>
        <w:rPr>
          <w:rFonts w:ascii="Arial" w:hAnsi="Arial"/>
          <w:sz w:val="28"/>
        </w:rPr>
        <w:tab/>
        <w:t>New York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D.</w:t>
      </w:r>
      <w:r>
        <w:rPr>
          <w:rFonts w:ascii="Arial" w:hAnsi="Arial"/>
          <w:sz w:val="28"/>
        </w:rPr>
        <w:tab/>
        <w:t>William Penn (1644-1718) and Pennsylvania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E.</w:t>
      </w:r>
      <w:r>
        <w:rPr>
          <w:rFonts w:ascii="Arial" w:hAnsi="Arial"/>
          <w:sz w:val="28"/>
        </w:rPr>
        <w:tab/>
        <w:t>Lord Baltimore (1580-1632) and Maryland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F.</w:t>
      </w:r>
      <w:r>
        <w:rPr>
          <w:rFonts w:ascii="Arial" w:hAnsi="Arial"/>
          <w:sz w:val="28"/>
        </w:rPr>
        <w:tab/>
        <w:t xml:space="preserve">Virginia  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G.</w:t>
      </w:r>
      <w:r>
        <w:rPr>
          <w:rFonts w:ascii="Arial" w:hAnsi="Arial"/>
          <w:sz w:val="28"/>
        </w:rPr>
        <w:tab/>
        <w:t>Conclusions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Religious picture in Colonial America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Distribution of churches in Colonial America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IV.</w:t>
      </w:r>
      <w:r>
        <w:rPr>
          <w:rFonts w:ascii="Arial" w:hAnsi="Arial"/>
          <w:b/>
          <w:sz w:val="28"/>
        </w:rPr>
        <w:tab/>
        <w:t>Lecture IV:  Jonathan Edwards and the First Great Awakening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The life and ministry of Jonathan Edwards (1703-1758)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 xml:space="preserve">Other important leaders in the First Great Awakening 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Theodore J. Frelinghuysen (1691-1748)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Gilbert Tennent (1703-1764)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</w:t>
      </w:r>
      <w:r>
        <w:rPr>
          <w:rFonts w:ascii="Arial" w:hAnsi="Arial"/>
          <w:sz w:val="28"/>
        </w:rPr>
        <w:tab/>
        <w:t>George Whitefield (1714-1770)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C.</w:t>
      </w:r>
      <w:r>
        <w:rPr>
          <w:rFonts w:ascii="Arial" w:hAnsi="Arial"/>
          <w:sz w:val="28"/>
        </w:rPr>
        <w:tab/>
        <w:t>Reaction to the First Great Awakening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Division in denominations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Charles Chauncy (1705-1787)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</w:t>
      </w:r>
      <w:r>
        <w:rPr>
          <w:rFonts w:ascii="Arial" w:hAnsi="Arial"/>
          <w:sz w:val="28"/>
        </w:rPr>
        <w:tab/>
        <w:t>Opposition within universities</w:t>
      </w:r>
    </w:p>
    <w:p w:rsidR="00047DEC" w:rsidRDefault="00047DEC">
      <w:pPr>
        <w:pStyle w:val="WPNormal"/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D.</w:t>
      </w:r>
      <w:r>
        <w:rPr>
          <w:rFonts w:ascii="Arial" w:hAnsi="Arial"/>
          <w:sz w:val="28"/>
        </w:rPr>
        <w:tab/>
        <w:t>Results of the First Great Awakening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Theological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Social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V.</w:t>
      </w:r>
      <w:r>
        <w:rPr>
          <w:rFonts w:ascii="Arial" w:hAnsi="Arial"/>
          <w:b/>
          <w:sz w:val="28"/>
        </w:rPr>
        <w:tab/>
        <w:t>Lecture V:  Religion and the American Revolution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Deism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Political and religious theory of the founding fathers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C.</w:t>
      </w:r>
      <w:r>
        <w:rPr>
          <w:rFonts w:ascii="Arial" w:hAnsi="Arial"/>
          <w:sz w:val="28"/>
        </w:rPr>
        <w:tab/>
        <w:t>The reaction of the churches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Introduction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The Anglican Church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</w:t>
      </w:r>
      <w:r>
        <w:rPr>
          <w:rFonts w:ascii="Arial" w:hAnsi="Arial"/>
          <w:sz w:val="28"/>
        </w:rPr>
        <w:tab/>
        <w:t>The Roman Catholic Church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4.</w:t>
      </w:r>
      <w:r>
        <w:rPr>
          <w:rFonts w:ascii="Arial" w:hAnsi="Arial"/>
          <w:sz w:val="28"/>
        </w:rPr>
        <w:tab/>
        <w:t>American Methodism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5.</w:t>
      </w:r>
      <w:r>
        <w:rPr>
          <w:rFonts w:ascii="Arial" w:hAnsi="Arial"/>
          <w:sz w:val="28"/>
        </w:rPr>
        <w:tab/>
        <w:t>Other denominations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6.</w:t>
      </w:r>
      <w:r>
        <w:rPr>
          <w:rFonts w:ascii="Arial" w:hAnsi="Arial"/>
          <w:sz w:val="28"/>
        </w:rPr>
        <w:tab/>
        <w:t>Universalism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D.</w:t>
      </w:r>
      <w:r>
        <w:rPr>
          <w:rFonts w:ascii="Arial" w:hAnsi="Arial"/>
          <w:sz w:val="28"/>
        </w:rPr>
        <w:tab/>
        <w:t>Church attendance during this time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b/>
          <w:sz w:val="28"/>
        </w:rPr>
      </w:pPr>
    </w:p>
    <w:p w:rsidR="00047DEC" w:rsidRDefault="00047DEC">
      <w:pPr>
        <w:pStyle w:val="WP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PART II: The New Nation, 1789-1865</w:t>
      </w:r>
    </w:p>
    <w:p w:rsidR="00047DEC" w:rsidRDefault="00047DEC">
      <w:pPr>
        <w:pStyle w:val="WPNormal"/>
        <w:rPr>
          <w:rFonts w:ascii="Arial" w:hAnsi="Arial"/>
          <w:b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VI.</w:t>
      </w:r>
      <w:r>
        <w:rPr>
          <w:rFonts w:ascii="Arial" w:hAnsi="Arial"/>
          <w:b/>
          <w:sz w:val="28"/>
        </w:rPr>
        <w:tab/>
        <w:t>Lecture VI:  The Emergence of American Unitarianism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Background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Unitarianism in America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VII.</w:t>
      </w:r>
      <w:r>
        <w:rPr>
          <w:rFonts w:ascii="Arial" w:hAnsi="Arial"/>
          <w:b/>
          <w:sz w:val="28"/>
        </w:rPr>
        <w:tab/>
        <w:t>Lecture VII:  The Second Great Awakening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The Awakening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Timothy Dwight (1752-1817)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Lyman Beecher (1775-1863)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</w:t>
      </w:r>
      <w:r>
        <w:rPr>
          <w:rFonts w:ascii="Arial" w:hAnsi="Arial"/>
          <w:sz w:val="28"/>
        </w:rPr>
        <w:tab/>
        <w:t>Nathaniel W. Taylor (1786-1858)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4.</w:t>
      </w:r>
      <w:r>
        <w:rPr>
          <w:rFonts w:ascii="Arial" w:hAnsi="Arial"/>
          <w:sz w:val="28"/>
        </w:rPr>
        <w:tab/>
        <w:t>Alexander Campbell (1788-1866)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ab/>
        <w:t>B.</w:t>
      </w:r>
      <w:r>
        <w:rPr>
          <w:rFonts w:ascii="Arial" w:hAnsi="Arial"/>
          <w:sz w:val="28"/>
        </w:rPr>
        <w:tab/>
        <w:t>The results of the Awakening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Increase in revivalism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Expanding network of voluntary societies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</w:t>
      </w:r>
      <w:r>
        <w:rPr>
          <w:rFonts w:ascii="Arial" w:hAnsi="Arial"/>
          <w:sz w:val="28"/>
        </w:rPr>
        <w:tab/>
        <w:t>Stress in education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4.</w:t>
      </w:r>
      <w:r>
        <w:rPr>
          <w:rFonts w:ascii="Arial" w:hAnsi="Arial"/>
          <w:sz w:val="28"/>
        </w:rPr>
        <w:tab/>
        <w:t>Moral and humanitarian crusades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5.</w:t>
      </w:r>
      <w:r>
        <w:rPr>
          <w:rFonts w:ascii="Arial" w:hAnsi="Arial"/>
          <w:sz w:val="28"/>
        </w:rPr>
        <w:tab/>
        <w:t>Growth of denominations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6.</w:t>
      </w:r>
      <w:r>
        <w:rPr>
          <w:rFonts w:ascii="Arial" w:hAnsi="Arial"/>
          <w:sz w:val="28"/>
        </w:rPr>
        <w:tab/>
        <w:t>Departures from the Evangelical pattern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a.  Roman Catholicism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b.  Millerites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1.)</w:t>
      </w:r>
      <w:r>
        <w:rPr>
          <w:rFonts w:ascii="Arial" w:hAnsi="Arial"/>
          <w:sz w:val="28"/>
        </w:rPr>
        <w:tab/>
        <w:t>William Miller (1782-1849)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2.)</w:t>
      </w:r>
      <w:r>
        <w:rPr>
          <w:rFonts w:ascii="Arial" w:hAnsi="Arial"/>
          <w:sz w:val="28"/>
        </w:rPr>
        <w:tab/>
        <w:t>Ellen G. White (1827-1915)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c.  Mormans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1.)</w:t>
      </w:r>
      <w:r>
        <w:rPr>
          <w:rFonts w:ascii="Arial" w:hAnsi="Arial"/>
          <w:sz w:val="28"/>
        </w:rPr>
        <w:tab/>
        <w:t>Joseph Smith (1805-1844)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2.)</w:t>
      </w:r>
      <w:r>
        <w:rPr>
          <w:rFonts w:ascii="Arial" w:hAnsi="Arial"/>
          <w:sz w:val="28"/>
        </w:rPr>
        <w:tab/>
        <w:t>Brigham Young (1801-1877)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d.  Shakers and other Communitarian Movements—Mother Ann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Lee (1736-1784)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VIII. Lecture VIII:  Roman Catholicism in the Nineteenth Century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Growth of the Roman Catholic Church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The Americanization of Roman Catholics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IX.</w:t>
      </w:r>
      <w:r>
        <w:rPr>
          <w:rFonts w:ascii="Arial" w:hAnsi="Arial"/>
          <w:b/>
          <w:sz w:val="28"/>
        </w:rPr>
        <w:tab/>
        <w:t>Lecture IX:  Slavery and the Churches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Background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Reaction of the churches to slavery: those churches that divided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Methodists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Baptists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</w:t>
      </w:r>
      <w:r>
        <w:rPr>
          <w:rFonts w:ascii="Arial" w:hAnsi="Arial"/>
          <w:sz w:val="28"/>
        </w:rPr>
        <w:tab/>
        <w:t>Presbyterians</w:t>
      </w:r>
    </w:p>
    <w:p w:rsidR="00047DEC" w:rsidRDefault="00047DEC">
      <w:pPr>
        <w:pStyle w:val="WPNormal"/>
        <w:ind w:left="1440" w:hanging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C.</w:t>
      </w:r>
      <w:r>
        <w:rPr>
          <w:rFonts w:ascii="Arial" w:hAnsi="Arial"/>
          <w:sz w:val="28"/>
        </w:rPr>
        <w:tab/>
        <w:t>Reaction of the churches to slavery: those churches that did not divide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Congregationalists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Lutherans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</w:t>
      </w:r>
      <w:r>
        <w:rPr>
          <w:rFonts w:ascii="Arial" w:hAnsi="Arial"/>
          <w:sz w:val="28"/>
        </w:rPr>
        <w:tab/>
        <w:t>Episcopalians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4.</w:t>
      </w:r>
      <w:r>
        <w:rPr>
          <w:rFonts w:ascii="Arial" w:hAnsi="Arial"/>
          <w:sz w:val="28"/>
        </w:rPr>
        <w:tab/>
        <w:t>Roman Catholics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X.</w:t>
      </w:r>
      <w:r>
        <w:rPr>
          <w:rFonts w:ascii="Arial" w:hAnsi="Arial"/>
          <w:b/>
          <w:sz w:val="28"/>
        </w:rPr>
        <w:tab/>
        <w:t>Lecture X:  The Civil War and the Churches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Religious allegiance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Interpretations of the War</w:t>
      </w:r>
    </w:p>
    <w:p w:rsidR="00047DEC" w:rsidRDefault="00047DEC">
      <w:pPr>
        <w:pStyle w:val="WPNormal"/>
        <w:numPr>
          <w:ilvl w:val="0"/>
          <w:numId w:val="2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Southern interpretation</w:t>
      </w:r>
    </w:p>
    <w:p w:rsidR="00047DEC" w:rsidRDefault="00047DEC">
      <w:pPr>
        <w:pStyle w:val="WPNormal"/>
        <w:numPr>
          <w:ilvl w:val="0"/>
          <w:numId w:val="2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Northern interpretation</w:t>
      </w:r>
    </w:p>
    <w:p w:rsidR="00047DEC" w:rsidRPr="00136B47" w:rsidRDefault="00047DEC">
      <w:pPr>
        <w:pStyle w:val="WPNormal"/>
        <w:numPr>
          <w:ilvl w:val="0"/>
          <w:numId w:val="2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Moderate interpretation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PART III: Years of Midpassage, 1865-1918 </w:t>
      </w:r>
    </w:p>
    <w:p w:rsidR="00047DEC" w:rsidRDefault="00047DEC">
      <w:pPr>
        <w:pStyle w:val="WPNormal"/>
        <w:rPr>
          <w:rFonts w:ascii="Arial" w:hAnsi="Arial"/>
          <w:b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XI.</w:t>
      </w:r>
      <w:r>
        <w:rPr>
          <w:rFonts w:ascii="Arial" w:hAnsi="Arial"/>
          <w:b/>
          <w:sz w:val="28"/>
        </w:rPr>
        <w:tab/>
        <w:t>Lecture XI:  The Black Church in America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Methodism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The Baptists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C.</w:t>
      </w:r>
      <w:r>
        <w:rPr>
          <w:rFonts w:ascii="Arial" w:hAnsi="Arial"/>
          <w:sz w:val="28"/>
        </w:rPr>
        <w:tab/>
        <w:t>The contributions of Black churches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D. </w:t>
      </w:r>
      <w:r>
        <w:rPr>
          <w:rFonts w:ascii="Arial" w:hAnsi="Arial"/>
          <w:sz w:val="28"/>
        </w:rPr>
        <w:tab/>
        <w:t>Sectarian appeal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Watch Tower Bible and Tract Society (Jehovah’s Witnesses)—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Charles Taze Russell (1856-1916)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Father Divine Peace Mission Movement—George Baker (1876-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1965)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XII. Lecture XII:  Evangelicalism in the Nineteenth Century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Charles Grandison Finney (1792-1875)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Dwight L. Moody (1837-1899)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XIII. Lecture XIII:  Urban Growth and the churches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Problems of industrialization and urbanization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Two consequences of urban change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C.</w:t>
      </w:r>
      <w:r>
        <w:rPr>
          <w:rFonts w:ascii="Arial" w:hAnsi="Arial"/>
          <w:sz w:val="28"/>
        </w:rPr>
        <w:tab/>
        <w:t>The responses of the churches to urban growth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PART IV: Modern America, 1918-Present</w:t>
      </w:r>
    </w:p>
    <w:p w:rsidR="00047DEC" w:rsidRDefault="00047DEC">
      <w:pPr>
        <w:pStyle w:val="WPNormal"/>
        <w:rPr>
          <w:rFonts w:ascii="Arial" w:hAnsi="Arial"/>
          <w:b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XIV. Lecture XIV:  Liberal Theology in America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Introduction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Three strategies for saving Christianity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Deifying the historical process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Stressing the ethical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</w:t>
      </w:r>
      <w:r>
        <w:rPr>
          <w:rFonts w:ascii="Arial" w:hAnsi="Arial"/>
          <w:sz w:val="28"/>
        </w:rPr>
        <w:tab/>
        <w:t>The centrality of religious feeling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C.</w:t>
      </w:r>
      <w:r>
        <w:rPr>
          <w:rFonts w:ascii="Arial" w:hAnsi="Arial"/>
          <w:sz w:val="28"/>
        </w:rPr>
        <w:tab/>
        <w:t>Two battle lines are drawn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Darwinism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Battle for the Bible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XV. Lecture XV:  The Social Gospel in America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Walter Rauschenbusch (1861-1918)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The theology of the social gospel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C.</w:t>
      </w:r>
      <w:r>
        <w:rPr>
          <w:rFonts w:ascii="Arial" w:hAnsi="Arial"/>
          <w:sz w:val="28"/>
        </w:rPr>
        <w:tab/>
        <w:t>Contribution of the social gospel to American Christianity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XVI. Lecture XVI:  Neo-orthodoxy &amp; Social Crisis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ab/>
        <w:t xml:space="preserve">A. </w:t>
      </w:r>
      <w:r>
        <w:rPr>
          <w:rFonts w:ascii="Arial" w:hAnsi="Arial"/>
          <w:sz w:val="28"/>
        </w:rPr>
        <w:tab/>
        <w:t>Background of Neo-orthodoxy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The importance of Karl Barth (1886-1968)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His life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His theology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C.</w:t>
      </w:r>
      <w:r>
        <w:rPr>
          <w:rFonts w:ascii="Arial" w:hAnsi="Arial"/>
          <w:sz w:val="28"/>
        </w:rPr>
        <w:tab/>
        <w:t>Neo-orthodoxy and the social crisis: moral man and immoral society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Introduction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Reinhold Niebuhr (1892-1970) and H. Richard Niebuhr (1894-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1962)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D.</w:t>
      </w:r>
      <w:r>
        <w:rPr>
          <w:rFonts w:ascii="Arial" w:hAnsi="Arial"/>
          <w:sz w:val="28"/>
        </w:rPr>
        <w:tab/>
      </w:r>
      <w:r w:rsidRPr="00D66AC8">
        <w:rPr>
          <w:rFonts w:ascii="Arial" w:hAnsi="Arial"/>
          <w:i/>
          <w:sz w:val="28"/>
        </w:rPr>
        <w:t>Christ and Culture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Introduction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Opposition between Christ and culture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</w:t>
      </w:r>
      <w:r>
        <w:rPr>
          <w:rFonts w:ascii="Arial" w:hAnsi="Arial"/>
          <w:sz w:val="28"/>
        </w:rPr>
        <w:tab/>
        <w:t>A synthesis of Christ and culture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4.</w:t>
      </w:r>
      <w:r>
        <w:rPr>
          <w:rFonts w:ascii="Arial" w:hAnsi="Arial"/>
          <w:sz w:val="28"/>
        </w:rPr>
        <w:tab/>
        <w:t>Christ and culture in tension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XVII. Lecture XVII:  The Rise of Fundamentalism &amp; the Modern Evangelical Movement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Fundamentalism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Background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Three Broad Movements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Dispensational Premillennialism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The Holiness Movement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c.</w:t>
      </w:r>
      <w:r>
        <w:rPr>
          <w:rFonts w:ascii="Arial" w:hAnsi="Arial"/>
          <w:sz w:val="28"/>
        </w:rPr>
        <w:tab/>
        <w:t>Pentecostalism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</w:t>
      </w:r>
      <w:r>
        <w:rPr>
          <w:rFonts w:ascii="Arial" w:hAnsi="Arial"/>
          <w:sz w:val="28"/>
        </w:rPr>
        <w:tab/>
        <w:t>Other Groups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Mary Baker Eddy (1821-1910) and Christian Science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 xml:space="preserve">Charles Taze Russell (1852-1916) and Jehovah’s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Witnesses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4.</w:t>
      </w:r>
      <w:r>
        <w:rPr>
          <w:rFonts w:ascii="Arial" w:hAnsi="Arial"/>
          <w:sz w:val="28"/>
        </w:rPr>
        <w:tab/>
        <w:t>Results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Evangelicalism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</w:t>
      </w:r>
      <w:r>
        <w:rPr>
          <w:rFonts w:ascii="Arial" w:hAnsi="Arial"/>
          <w:sz w:val="28"/>
        </w:rPr>
        <w:tab/>
        <w:t>Background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  <w:r>
        <w:rPr>
          <w:rFonts w:ascii="Arial" w:hAnsi="Arial"/>
          <w:sz w:val="28"/>
        </w:rPr>
        <w:tab/>
        <w:t>Twentieth century cultural forces facing the Church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</w:t>
      </w:r>
      <w:r>
        <w:rPr>
          <w:rFonts w:ascii="Arial" w:hAnsi="Arial"/>
          <w:sz w:val="28"/>
        </w:rPr>
        <w:tab/>
        <w:t>Forces shaping twentieth century Evangelicalism and twenty-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first century Evangelicalism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a.</w:t>
      </w:r>
      <w:r>
        <w:rPr>
          <w:rFonts w:ascii="Arial" w:hAnsi="Arial"/>
          <w:sz w:val="28"/>
        </w:rPr>
        <w:tab/>
        <w:t>People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1).</w:t>
      </w:r>
      <w:r>
        <w:rPr>
          <w:rFonts w:ascii="Arial" w:hAnsi="Arial"/>
          <w:sz w:val="28"/>
        </w:rPr>
        <w:tab/>
        <w:t>William Franklin Graham (1918—present)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2).</w:t>
      </w:r>
      <w:r>
        <w:rPr>
          <w:rFonts w:ascii="Arial" w:hAnsi="Arial"/>
          <w:sz w:val="28"/>
        </w:rPr>
        <w:tab/>
        <w:t>Harold John Ockenga (1905-1985)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3).</w:t>
      </w:r>
      <w:r>
        <w:rPr>
          <w:rFonts w:ascii="Arial" w:hAnsi="Arial"/>
          <w:sz w:val="28"/>
        </w:rPr>
        <w:tab/>
        <w:t>Carl F. H. Henry (1913-2003)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4).</w:t>
      </w:r>
      <w:r>
        <w:rPr>
          <w:rFonts w:ascii="Arial" w:hAnsi="Arial"/>
          <w:sz w:val="28"/>
        </w:rPr>
        <w:tab/>
        <w:t>Edward J. Carnell (1919-1967)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b.</w:t>
      </w:r>
      <w:r>
        <w:rPr>
          <w:rFonts w:ascii="Arial" w:hAnsi="Arial"/>
          <w:sz w:val="28"/>
        </w:rPr>
        <w:tab/>
        <w:t>National Association of Evangelicals—1942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c.</w:t>
      </w:r>
      <w:r>
        <w:rPr>
          <w:rFonts w:ascii="Arial" w:hAnsi="Arial"/>
          <w:sz w:val="28"/>
        </w:rPr>
        <w:tab/>
      </w:r>
      <w:r>
        <w:rPr>
          <w:rFonts w:ascii="Arial" w:hAnsi="Arial"/>
          <w:i/>
          <w:sz w:val="28"/>
        </w:rPr>
        <w:t>Christianity Today</w:t>
      </w:r>
      <w:r>
        <w:rPr>
          <w:rFonts w:ascii="Arial" w:hAnsi="Arial"/>
          <w:sz w:val="28"/>
        </w:rPr>
        <w:t>—1956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d.</w:t>
      </w:r>
      <w:r>
        <w:rPr>
          <w:rFonts w:ascii="Arial" w:hAnsi="Arial"/>
          <w:sz w:val="28"/>
        </w:rPr>
        <w:tab/>
        <w:t>The founding of Evangelical colleges and seminaries</w:t>
      </w:r>
    </w:p>
    <w:p w:rsidR="00047DEC" w:rsidRPr="004679D6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e.</w:t>
      </w:r>
      <w:r>
        <w:rPr>
          <w:rFonts w:ascii="Arial" w:hAnsi="Arial"/>
          <w:sz w:val="28"/>
        </w:rPr>
        <w:tab/>
        <w:t>Leadership in the academic community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ab/>
      </w:r>
      <w:r>
        <w:rPr>
          <w:rFonts w:ascii="Arial" w:hAnsi="Arial"/>
          <w:sz w:val="28"/>
        </w:rPr>
        <w:tab/>
        <w:t>4.</w:t>
      </w:r>
      <w:r>
        <w:rPr>
          <w:rFonts w:ascii="Arial" w:hAnsi="Arial"/>
          <w:sz w:val="28"/>
        </w:rPr>
        <w:tab/>
        <w:t>Tenets of Evangelicalism</w:t>
      </w: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5.</w:t>
      </w:r>
      <w:r>
        <w:rPr>
          <w:rFonts w:ascii="Arial" w:hAnsi="Arial"/>
          <w:sz w:val="28"/>
        </w:rPr>
        <w:tab/>
        <w:t>Weaknesses of Evangelicalism</w:t>
      </w:r>
    </w:p>
    <w:p w:rsidR="00047DEC" w:rsidRDefault="00047DEC">
      <w:pPr>
        <w:pStyle w:val="WPNormal"/>
        <w:rPr>
          <w:rFonts w:ascii="Arial" w:hAnsi="Arial"/>
          <w:sz w:val="28"/>
        </w:rPr>
      </w:pPr>
    </w:p>
    <w:p w:rsidR="00047DEC" w:rsidRDefault="00047DEC">
      <w:pPr>
        <w:pStyle w:val="WPNormal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XVIII. Lecture XVIII:  American Christianity and the Modern World</w:t>
      </w:r>
    </w:p>
    <w:p w:rsidR="00047DEC" w:rsidRDefault="00047DEC">
      <w:pPr>
        <w:pStyle w:val="WPNormal"/>
        <w:numPr>
          <w:ilvl w:val="0"/>
          <w:numId w:val="13"/>
        </w:numPr>
        <w:tabs>
          <w:tab w:val="clear" w:pos="360"/>
        </w:tabs>
        <w:ind w:left="940"/>
        <w:rPr>
          <w:rFonts w:ascii="Arial" w:hAnsi="Arial"/>
          <w:sz w:val="28"/>
        </w:rPr>
      </w:pPr>
      <w:r>
        <w:rPr>
          <w:rFonts w:ascii="Arial" w:hAnsi="Arial"/>
          <w:sz w:val="28"/>
        </w:rPr>
        <w:t>Positive appraisal</w:t>
      </w:r>
    </w:p>
    <w:p w:rsidR="00047DEC" w:rsidRDefault="00047DEC">
      <w:pPr>
        <w:pStyle w:val="WPNormal"/>
        <w:numPr>
          <w:ilvl w:val="0"/>
          <w:numId w:val="13"/>
        </w:numPr>
        <w:tabs>
          <w:tab w:val="clear" w:pos="360"/>
        </w:tabs>
        <w:ind w:left="940"/>
        <w:rPr>
          <w:rFonts w:ascii="Arial" w:hAnsi="Arial"/>
          <w:sz w:val="28"/>
        </w:rPr>
      </w:pPr>
      <w:r>
        <w:rPr>
          <w:rFonts w:ascii="Arial" w:hAnsi="Arial"/>
          <w:sz w:val="28"/>
        </w:rPr>
        <w:t>Negative criticism</w:t>
      </w:r>
    </w:p>
    <w:p w:rsidR="00047DEC" w:rsidRDefault="00047DEC">
      <w:pPr>
        <w:pStyle w:val="PlainText"/>
        <w:rPr>
          <w:rFonts w:ascii="Arial" w:hAnsi="Arial"/>
          <w:sz w:val="28"/>
        </w:rPr>
      </w:pPr>
    </w:p>
    <w:p w:rsidR="00047DEC" w:rsidRDefault="00047DEC">
      <w:pPr>
        <w:pStyle w:val="PlainText"/>
        <w:pBdr>
          <w:top w:val="thinThickSmallGap" w:sz="24" w:space="1" w:color="auto"/>
          <w:bottom w:val="single" w:sz="8" w:space="1" w:color="auto"/>
        </w:pBdr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b/>
          <w:caps/>
          <w:sz w:val="28"/>
        </w:rPr>
        <w:lastRenderedPageBreak/>
        <w:t>Bible 322—AMERICAN CHRISTIANITY</w:t>
      </w:r>
    </w:p>
    <w:p w:rsidR="00047DEC" w:rsidRDefault="00047DEC">
      <w:pPr>
        <w:pStyle w:val="PlainText"/>
        <w:jc w:val="center"/>
        <w:rPr>
          <w:rFonts w:ascii="Arial" w:hAnsi="Arial"/>
          <w:i/>
          <w:sz w:val="28"/>
        </w:rPr>
      </w:pPr>
    </w:p>
    <w:p w:rsidR="00047DEC" w:rsidRDefault="00047DEC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Study Sheet—Important People In American Christianity</w:t>
      </w:r>
    </w:p>
    <w:p w:rsidR="00047DEC" w:rsidRDefault="00047DEC">
      <w:pPr>
        <w:pStyle w:val="PlainText"/>
        <w:rPr>
          <w:rFonts w:ascii="Arial" w:hAnsi="Arial"/>
          <w:sz w:val="28"/>
        </w:rPr>
      </w:pPr>
    </w:p>
    <w:p w:rsidR="00047DEC" w:rsidRDefault="00047DEC">
      <w:pPr>
        <w:pStyle w:val="PlainText"/>
        <w:rPr>
          <w:rFonts w:ascii="Arial" w:hAnsi="Arial"/>
          <w:sz w:val="28"/>
        </w:rPr>
        <w:sectPr w:rsidR="00047DEC" w:rsidSect="00047DEC">
          <w:footerReference w:type="default" r:id="rId7"/>
          <w:pgSz w:w="12240" w:h="15840"/>
          <w:pgMar w:top="1440" w:right="1080" w:bottom="1080" w:left="1080" w:header="720" w:footer="720" w:gutter="0"/>
          <w:cols w:space="720"/>
        </w:sectPr>
      </w:pP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lastRenderedPageBreak/>
        <w:t>Richard Allen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Francis Asbury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Karl Barth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Henry Ward Beecher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Lyman Beecher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Joseph Bellamy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James Blair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William Bradford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Thomas Bray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Charles A. Briggs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Phillips Brooks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Orestes Brownson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William Jennings Bryan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Horace Bushnell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George Calvert (Lord Baltimore)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Alexander Campbell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Edward J. Carnell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John Carroll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lastRenderedPageBreak/>
        <w:t>William Ellery Channing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Charles Chauncy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Samuel Taylor Coleridge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John Cotto</w:t>
      </w:r>
      <w:bookmarkStart w:id="0" w:name="_GoBack"/>
      <w:bookmarkEnd w:id="0"/>
      <w:r w:rsidRPr="008C03A6">
        <w:rPr>
          <w:rFonts w:ascii="Arial" w:hAnsi="Arial"/>
          <w:sz w:val="28"/>
        </w:rPr>
        <w:t>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J.N. Darby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Charles Darwin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Clarence Darrow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Timothy Dwight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Mary Dyer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Mary Baker Eddy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Jonathan Edwards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Jonathan Edwards, Jr.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Ralph Waldo Emerson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Nathaniel Emmons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Margaret Fell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Charles Grandison Finney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Harry Emerson Fosdick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George Fox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lastRenderedPageBreak/>
        <w:t>James Freeman</w:t>
      </w:r>
    </w:p>
    <w:p w:rsidR="00047DEC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James Freeman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Theodore Frelinghuysen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William Lloyd Garrison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James Gibbons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Washington Gladden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Adoniram Judson Gordon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William Franklin Graham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Asa Gray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Isaac Hecker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Carl F.H. Henry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Charles Hodge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Thomas Hooker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Samuel Hopkins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Julia Ward Howe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Anne Hutchinson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Thomas Jefferson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Francis Kenrick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Martin Luther King, Jr.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Mother Ann Lee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Pope Leo XIII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Abraham Lincoln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John Locke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J. Greshem Machen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James Manning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Cotton Mather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Increase Mather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 xml:space="preserve">Aimee Semple McPherson   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William Miller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Dwight L. Moody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Jedediah Morse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James Naylor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H. Richard Niebuhr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Reinhold Niebuhr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Harold J. Ockenga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James Oglethorpe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Thomas Paine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Phoebe Palmer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William Penn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Joseph Priestly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lastRenderedPageBreak/>
        <w:t>Samuel Provoost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Walter Rauschenbusch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Jean-Jacques Rousseau</w:t>
      </w:r>
    </w:p>
    <w:p w:rsidR="00047DEC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Charles Taze Russell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Friedrich Schleiermacher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C.I. Scofield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Orange Scott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Samuel Seabury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Joseph Smith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Herbert Spencer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Solomon Stoddard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Barton W. Stone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Harriet Beecher Stowe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Moses Stuart</w:t>
      </w:r>
    </w:p>
    <w:p w:rsidR="00047DEC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Peter Stuyvesant</w:t>
      </w:r>
    </w:p>
    <w:p w:rsidR="00047DEC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Billy Sunday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Gilbert Tennent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Paul Tillich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John Toland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James Varick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Henry Ware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Benjamin B. Warfield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John Wesley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Ellen G. White</w:t>
      </w:r>
      <w:r w:rsidRPr="008C03A6">
        <w:rPr>
          <w:rFonts w:ascii="Arial" w:hAnsi="Arial"/>
          <w:sz w:val="28"/>
        </w:rPr>
        <w:tab/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William White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George Whitefield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William Wilberforce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John Winthrop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Roger Williams</w:t>
      </w:r>
    </w:p>
    <w:p w:rsidR="00047DEC" w:rsidRPr="008C03A6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</w:pPr>
      <w:r w:rsidRPr="008C03A6">
        <w:rPr>
          <w:rFonts w:ascii="Arial" w:hAnsi="Arial"/>
          <w:sz w:val="28"/>
        </w:rPr>
        <w:t>John Woolman</w:t>
      </w:r>
    </w:p>
    <w:p w:rsidR="00047DEC" w:rsidRDefault="00047DEC" w:rsidP="00047DEC">
      <w:pPr>
        <w:pStyle w:val="PlainText"/>
        <w:pBdr>
          <w:top w:val="thinThickSmallGap" w:sz="24" w:space="1" w:color="auto"/>
          <w:bottom w:val="single" w:sz="8" w:space="1" w:color="auto"/>
        </w:pBdr>
        <w:spacing w:line="480" w:lineRule="auto"/>
        <w:rPr>
          <w:rFonts w:ascii="Arial" w:hAnsi="Arial"/>
          <w:sz w:val="28"/>
        </w:rPr>
        <w:sectPr w:rsidR="00047DEC" w:rsidSect="00047DEC">
          <w:type w:val="continuous"/>
          <w:pgSz w:w="12240" w:h="15840"/>
          <w:pgMar w:top="1440" w:right="1080" w:bottom="1080" w:left="1080" w:header="720" w:footer="720" w:gutter="0"/>
          <w:cols w:num="2" w:space="720"/>
        </w:sectPr>
      </w:pPr>
      <w:r w:rsidRPr="008C03A6">
        <w:rPr>
          <w:rFonts w:ascii="Arial" w:hAnsi="Arial"/>
          <w:sz w:val="28"/>
        </w:rPr>
        <w:t>Brigham Young</w:t>
      </w:r>
    </w:p>
    <w:p w:rsidR="00C94DAE" w:rsidRPr="00020B6B" w:rsidRDefault="00C94DAE" w:rsidP="00C94DAE">
      <w:pPr>
        <w:pStyle w:val="PlainText"/>
        <w:pBdr>
          <w:top w:val="thinThickSmallGap" w:sz="24" w:space="1" w:color="auto"/>
          <w:bottom w:val="single" w:sz="8" w:space="1" w:color="auto"/>
        </w:pBdr>
        <w:rPr>
          <w:rFonts w:ascii="Arial" w:hAnsi="Arial"/>
          <w:sz w:val="28"/>
        </w:rPr>
      </w:pPr>
    </w:p>
    <w:p w:rsidR="00047DEC" w:rsidRPr="00020B6B" w:rsidRDefault="00047DEC" w:rsidP="00047DEC">
      <w:pPr>
        <w:pStyle w:val="PlainText"/>
        <w:rPr>
          <w:rFonts w:ascii="Arial" w:hAnsi="Arial"/>
          <w:sz w:val="28"/>
        </w:rPr>
      </w:pPr>
    </w:p>
    <w:sectPr w:rsidR="00047DEC" w:rsidRPr="00020B6B" w:rsidSect="00047DEC">
      <w:type w:val="continuous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F5" w:rsidRDefault="008F57F5">
      <w:r>
        <w:separator/>
      </w:r>
    </w:p>
  </w:endnote>
  <w:endnote w:type="continuationSeparator" w:id="0">
    <w:p w:rsidR="008F57F5" w:rsidRDefault="008F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EC" w:rsidRDefault="00047DEC">
    <w:pPr>
      <w:pStyle w:val="Footer"/>
      <w:jc w:val="center"/>
    </w:pPr>
    <w:r>
      <w:rPr>
        <w:rStyle w:val="PageNumber"/>
      </w:rPr>
      <w:t>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E5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F5" w:rsidRDefault="008F57F5">
      <w:r>
        <w:separator/>
      </w:r>
    </w:p>
  </w:footnote>
  <w:footnote w:type="continuationSeparator" w:id="0">
    <w:p w:rsidR="008F57F5" w:rsidRDefault="008F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13C1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00000007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9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B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C374491"/>
    <w:multiLevelType w:val="hybridMultilevel"/>
    <w:tmpl w:val="4B7A0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65A2D"/>
    <w:multiLevelType w:val="hybridMultilevel"/>
    <w:tmpl w:val="EDE634F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7A55B0F"/>
    <w:multiLevelType w:val="hybridMultilevel"/>
    <w:tmpl w:val="0E368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102E0"/>
    <w:multiLevelType w:val="hybridMultilevel"/>
    <w:tmpl w:val="1364669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B01B6"/>
    <w:multiLevelType w:val="hybridMultilevel"/>
    <w:tmpl w:val="8556B0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24D3C"/>
    <w:multiLevelType w:val="hybridMultilevel"/>
    <w:tmpl w:val="58E84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2"/>
    <w:rsid w:val="00047DEC"/>
    <w:rsid w:val="00233E53"/>
    <w:rsid w:val="008E6835"/>
    <w:rsid w:val="008F57F5"/>
    <w:rsid w:val="00A0656F"/>
    <w:rsid w:val="00C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B6719"/>
  <w14:defaultImageDpi w14:val="300"/>
  <w15:chartTrackingRefBased/>
  <w15:docId w15:val="{42FEF73C-250C-41FE-9DC6-F02477CF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bidi="ar-SA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WPNormal">
    <w:name w:val="WP_Normal"/>
    <w:basedOn w:val="Normal"/>
    <w:pPr>
      <w:widowControl w:val="0"/>
    </w:pPr>
    <w:rPr>
      <w:rFonts w:ascii="Chicago" w:eastAsia="Times New Roman" w:hAnsi="Chicago"/>
    </w:rPr>
  </w:style>
  <w:style w:type="paragraph" w:customStyle="1" w:styleId="WPWPDefaults">
    <w:name w:val="WP_WP Defaults"/>
    <w:pPr>
      <w:widowControl w:val="0"/>
    </w:pPr>
    <w:rPr>
      <w:rFonts w:ascii="Geneva" w:eastAsia="Times New Roman" w:hAnsi="Geneva"/>
      <w:sz w:val="24"/>
      <w:lang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Gordon College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Shirley Houston</dc:creator>
  <cp:keywords/>
  <cp:lastModifiedBy>Matthew Dunphy</cp:lastModifiedBy>
  <cp:revision>2</cp:revision>
  <cp:lastPrinted>2016-06-06T03:56:00Z</cp:lastPrinted>
  <dcterms:created xsi:type="dcterms:W3CDTF">2016-06-06T04:04:00Z</dcterms:created>
  <dcterms:modified xsi:type="dcterms:W3CDTF">2016-06-06T04:04:00Z</dcterms:modified>
</cp:coreProperties>
</file>